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C352" w14:textId="6C44B200" w:rsidR="005B5EB3" w:rsidRDefault="00A57774">
      <w:r>
        <w:tab/>
      </w:r>
    </w:p>
    <w:p w14:paraId="62E34A95" w14:textId="44B11D9B" w:rsidR="001A5A15" w:rsidRDefault="001A5A15"/>
    <w:p w14:paraId="490A4C12" w14:textId="77777777" w:rsidR="001A5A15" w:rsidRDefault="001A5A15" w:rsidP="001A5A15">
      <w:pPr>
        <w:pStyle w:val="Titre1"/>
        <w:rPr>
          <w:lang w:val="fr-BE" w:eastAsia="fr-BE"/>
        </w:rPr>
      </w:pPr>
      <w:bookmarkStart w:id="0" w:name="_Hlk93662777"/>
      <w:r w:rsidRPr="007F4365">
        <w:rPr>
          <w:lang w:val="fr-BE" w:eastAsia="fr-BE"/>
        </w:rPr>
        <w:t>Perdrix grise</w:t>
      </w:r>
    </w:p>
    <w:p w14:paraId="6E05E50A" w14:textId="77777777" w:rsidR="007B3AB2" w:rsidRDefault="007B3AB2" w:rsidP="001A5A15">
      <w:pPr>
        <w:pStyle w:val="Titre2"/>
      </w:pPr>
      <w:r>
        <w:t>M</w:t>
      </w:r>
      <w:r w:rsidR="001A5A15">
        <w:t xml:space="preserve">odèle de rapport annuel </w:t>
      </w:r>
    </w:p>
    <w:p w14:paraId="660B5F49" w14:textId="17A69DF1" w:rsidR="001A5A15" w:rsidRPr="007F4365" w:rsidRDefault="001A5A15" w:rsidP="001A5A15">
      <w:pPr>
        <w:pStyle w:val="Titre2"/>
      </w:pPr>
      <w:r>
        <w:t>dans le cadre du plan de gestion de la perdrix grise</w:t>
      </w:r>
    </w:p>
    <w:bookmarkEnd w:id="0"/>
    <w:p w14:paraId="4470C2CB" w14:textId="77777777" w:rsidR="007B3AB2" w:rsidRPr="007B3AB2" w:rsidRDefault="001A5A15" w:rsidP="007B3AB2">
      <w:pPr>
        <w:jc w:val="center"/>
        <w:rPr>
          <w:sz w:val="22"/>
          <w:szCs w:val="22"/>
        </w:rPr>
      </w:pPr>
      <w:r w:rsidRPr="007B3AB2">
        <w:rPr>
          <w:rFonts w:ascii="Calibri" w:eastAsia="Calibri" w:hAnsi="Calibri" w:cs="Times New Roman"/>
          <w:sz w:val="22"/>
          <w:szCs w:val="22"/>
          <w:lang w:val="fr-BE" w:eastAsia="fr-BE"/>
        </w:rPr>
        <w:t>(</w:t>
      </w:r>
      <w:r w:rsidR="007B3AB2" w:rsidRPr="007B3AB2">
        <w:rPr>
          <w:rFonts w:ascii="Calibri" w:eastAsia="Calibri" w:hAnsi="Calibri" w:cs="Times New Roman"/>
          <w:sz w:val="22"/>
          <w:szCs w:val="22"/>
          <w:lang w:val="fr-BE" w:eastAsia="fr-BE"/>
        </w:rPr>
        <w:t xml:space="preserve">En application de l’article 6 </w:t>
      </w:r>
      <w:r w:rsidR="007B3AB2" w:rsidRPr="007B3AB2">
        <w:rPr>
          <w:sz w:val="22"/>
          <w:szCs w:val="22"/>
        </w:rPr>
        <w:t>de l’Arrêté ministériel du 10 juin 2021 fixant les modalités d'introduction et d'approbation des plans de gestion de la perdrix grise, ainsi que celles relatives aux rapports annuels de la mise en œuvre de ces plans)</w:t>
      </w:r>
    </w:p>
    <w:p w14:paraId="193F7C59" w14:textId="77777777" w:rsidR="007B3AB2" w:rsidRDefault="007B3AB2" w:rsidP="007B3AB2">
      <w:pPr>
        <w:jc w:val="center"/>
        <w:rPr>
          <w:sz w:val="22"/>
          <w:szCs w:val="22"/>
        </w:rPr>
      </w:pPr>
    </w:p>
    <w:p w14:paraId="5D5372F9" w14:textId="58178468" w:rsidR="001A5A15" w:rsidRPr="007B3AB2" w:rsidRDefault="007B3AB2" w:rsidP="007B3AB2">
      <w:pPr>
        <w:jc w:val="center"/>
        <w:rPr>
          <w:rFonts w:ascii="Calibri" w:eastAsia="Calibri" w:hAnsi="Calibri" w:cs="Times New Roman"/>
          <w:sz w:val="22"/>
          <w:szCs w:val="22"/>
          <w:lang w:val="fr-BE" w:eastAsia="fr-BE"/>
        </w:rPr>
      </w:pPr>
      <w:r w:rsidRPr="007B3AB2">
        <w:rPr>
          <w:sz w:val="22"/>
          <w:szCs w:val="22"/>
        </w:rPr>
        <w:t xml:space="preserve">DEMNA, janvier </w:t>
      </w:r>
      <w:r w:rsidR="001A5A15" w:rsidRPr="007B3AB2">
        <w:rPr>
          <w:rFonts w:ascii="Calibri" w:eastAsia="Calibri" w:hAnsi="Calibri" w:cs="Times New Roman"/>
          <w:sz w:val="22"/>
          <w:szCs w:val="22"/>
          <w:lang w:val="fr-BE" w:eastAsia="fr-BE"/>
        </w:rPr>
        <w:t>2022</w:t>
      </w:r>
    </w:p>
    <w:p w14:paraId="656E932C" w14:textId="6D89C370" w:rsidR="001A5A15" w:rsidRPr="007B3AB2" w:rsidRDefault="001A5A15" w:rsidP="007B3AB2">
      <w:pPr>
        <w:rPr>
          <w:rFonts w:ascii="Calibri" w:eastAsia="Calibri" w:hAnsi="Calibri" w:cs="Times New Roman"/>
          <w:sz w:val="22"/>
          <w:szCs w:val="22"/>
          <w:lang w:val="fr-BE" w:eastAsia="fr-BE"/>
        </w:rPr>
      </w:pPr>
    </w:p>
    <w:p w14:paraId="591B9300" w14:textId="77777777" w:rsidR="001A5A15" w:rsidRPr="007B3AB2" w:rsidRDefault="001A5A15" w:rsidP="007B3AB2">
      <w:pPr>
        <w:rPr>
          <w:rFonts w:ascii="Calibri" w:eastAsia="Calibri" w:hAnsi="Calibri" w:cs="Times New Roman"/>
          <w:sz w:val="22"/>
          <w:szCs w:val="22"/>
          <w:lang w:val="fr-BE" w:eastAsia="fr-BE"/>
        </w:rPr>
      </w:pPr>
    </w:p>
    <w:p w14:paraId="7127AFD8" w14:textId="4B473E93" w:rsidR="001A5A15" w:rsidRPr="007F4365" w:rsidRDefault="00AF4AFD" w:rsidP="001A5A15">
      <w:pPr>
        <w:pStyle w:val="Titre3"/>
      </w:pPr>
      <w:r>
        <w:t>Rappel de d</w:t>
      </w:r>
      <w:r w:rsidR="001A5A15">
        <w:t xml:space="preserve">ispositions </w:t>
      </w:r>
      <w:r>
        <w:t>réglementaires</w:t>
      </w:r>
    </w:p>
    <w:p w14:paraId="5E10DB38" w14:textId="77777777" w:rsidR="001A5A15" w:rsidRPr="007F4365" w:rsidRDefault="001A5A15" w:rsidP="00327330">
      <w:pPr>
        <w:jc w:val="both"/>
        <w:rPr>
          <w:rFonts w:ascii="Calibri" w:eastAsia="Times New Roman" w:hAnsi="Calibri" w:cs="Times New Roman"/>
          <w:sz w:val="22"/>
          <w:szCs w:val="22"/>
          <w:lang w:val="fr-BE" w:eastAsia="fr-BE"/>
        </w:rPr>
      </w:pPr>
    </w:p>
    <w:p w14:paraId="25BB76B2" w14:textId="132BA23E" w:rsidR="001A5A15" w:rsidRPr="007F4365" w:rsidRDefault="00C33EF5" w:rsidP="00327330">
      <w:pPr>
        <w:jc w:val="both"/>
        <w:rPr>
          <w:rFonts w:ascii="Calibri" w:eastAsia="Calibri" w:hAnsi="Calibri" w:cs="Calibri"/>
          <w:color w:val="000000"/>
          <w:sz w:val="22"/>
          <w:szCs w:val="22"/>
          <w:lang w:val="fr-BE" w:eastAsia="fr-BE"/>
        </w:rPr>
      </w:pPr>
      <w:r>
        <w:rPr>
          <w:rFonts w:ascii="Calibri" w:eastAsia="Calibri" w:hAnsi="Calibri" w:cs="Calibri"/>
          <w:color w:val="000000"/>
          <w:sz w:val="22"/>
          <w:szCs w:val="22"/>
          <w:lang w:val="fr-BE" w:eastAsia="fr-BE"/>
        </w:rPr>
        <w:t>L</w:t>
      </w:r>
      <w:r w:rsidRPr="007F4365">
        <w:rPr>
          <w:rFonts w:ascii="Calibri" w:eastAsia="Calibri" w:hAnsi="Calibri" w:cs="Calibri"/>
          <w:color w:val="000000"/>
          <w:sz w:val="22"/>
          <w:szCs w:val="22"/>
          <w:lang w:val="fr-BE" w:eastAsia="fr-BE"/>
        </w:rPr>
        <w:t>’arrêté quinquennal d’ouvertures</w:t>
      </w:r>
      <w:r>
        <w:rPr>
          <w:rStyle w:val="Appelnotedebasdep"/>
          <w:rFonts w:ascii="Calibri" w:eastAsia="Calibri" w:hAnsi="Calibri" w:cs="Calibri"/>
          <w:color w:val="000000"/>
          <w:sz w:val="22"/>
          <w:szCs w:val="22"/>
          <w:lang w:val="fr-BE" w:eastAsia="fr-BE"/>
        </w:rPr>
        <w:footnoteReference w:id="1"/>
      </w:r>
      <w:r>
        <w:rPr>
          <w:rFonts w:ascii="Calibri" w:eastAsia="Calibri" w:hAnsi="Calibri" w:cs="Calibri"/>
          <w:color w:val="000000"/>
          <w:sz w:val="22"/>
          <w:szCs w:val="22"/>
          <w:lang w:val="fr-BE" w:eastAsia="fr-BE"/>
        </w:rPr>
        <w:t xml:space="preserve"> stipule qu’à </w:t>
      </w:r>
      <w:r w:rsidR="001A5A15" w:rsidRPr="007F4365">
        <w:rPr>
          <w:rFonts w:ascii="Calibri" w:eastAsia="Calibri" w:hAnsi="Calibri" w:cs="Calibri"/>
          <w:color w:val="000000"/>
          <w:sz w:val="22"/>
          <w:szCs w:val="22"/>
          <w:lang w:val="fr-BE" w:eastAsia="fr-BE"/>
        </w:rPr>
        <w:t>partir de l’année cynégétique 2022/23</w:t>
      </w:r>
      <w:r>
        <w:rPr>
          <w:rFonts w:ascii="Calibri" w:eastAsia="Calibri" w:hAnsi="Calibri" w:cs="Calibri"/>
          <w:color w:val="000000"/>
          <w:sz w:val="22"/>
          <w:szCs w:val="22"/>
          <w:lang w:val="fr-BE" w:eastAsia="fr-BE"/>
        </w:rPr>
        <w:t>,</w:t>
      </w:r>
      <w:r w:rsidR="001A5A15" w:rsidRPr="007F4365">
        <w:rPr>
          <w:rFonts w:ascii="Calibri" w:eastAsia="Calibri" w:hAnsi="Calibri" w:cs="Calibri"/>
          <w:color w:val="000000"/>
          <w:sz w:val="22"/>
          <w:szCs w:val="22"/>
          <w:lang w:val="fr-BE" w:eastAsia="fr-BE"/>
        </w:rPr>
        <w:t xml:space="preserve"> la chasse à la perdrix grise n’est autorisée que si un rapport sur l’application du plan de gestion au cours de l’année cynégétique précédente a été approuvé par la directrice générale du SPW Agriculture, Ressources naturelles et Environnement. </w:t>
      </w:r>
    </w:p>
    <w:p w14:paraId="23C55059" w14:textId="77777777" w:rsidR="001A5A15" w:rsidRPr="007F4365" w:rsidRDefault="001A5A15" w:rsidP="00327330">
      <w:pPr>
        <w:jc w:val="both"/>
        <w:rPr>
          <w:rFonts w:ascii="Calibri" w:eastAsia="Calibri" w:hAnsi="Calibri" w:cs="Calibri"/>
          <w:color w:val="000000"/>
          <w:sz w:val="22"/>
          <w:szCs w:val="22"/>
          <w:lang w:val="fr-BE" w:eastAsia="fr-BE"/>
        </w:rPr>
      </w:pPr>
    </w:p>
    <w:p w14:paraId="63A83D52" w14:textId="77777777" w:rsidR="001A5A15" w:rsidRPr="007F4365" w:rsidRDefault="001A5A15" w:rsidP="00327330">
      <w:pPr>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Ce rapport est annuel. Il ne sera pas approuvé s’il est incomplet ou s’il apparaît que les conditions fixées dans le plan de gestion ne sont pas respectées.</w:t>
      </w:r>
    </w:p>
    <w:p w14:paraId="48456E92" w14:textId="77777777" w:rsidR="001A5A15" w:rsidRPr="007F4365" w:rsidRDefault="001A5A15" w:rsidP="00327330">
      <w:pPr>
        <w:jc w:val="both"/>
        <w:rPr>
          <w:rFonts w:ascii="Calibri" w:eastAsia="Calibri" w:hAnsi="Calibri" w:cs="Calibri"/>
          <w:color w:val="000000"/>
          <w:sz w:val="22"/>
          <w:szCs w:val="22"/>
          <w:lang w:val="fr-BE" w:eastAsia="fr-BE"/>
        </w:rPr>
      </w:pPr>
    </w:p>
    <w:p w14:paraId="2AAFB394" w14:textId="77777777" w:rsidR="001A5A15" w:rsidRPr="007F4365" w:rsidRDefault="001A5A15" w:rsidP="00327330">
      <w:pPr>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Ce rapport fournit au minimum les informations suivantes pour chaque unité de gestion :</w:t>
      </w:r>
    </w:p>
    <w:p w14:paraId="3188F4C1" w14:textId="77777777" w:rsidR="001A5A15" w:rsidRPr="007F4365" w:rsidRDefault="001A5A15" w:rsidP="001A5A15">
      <w:pPr>
        <w:numPr>
          <w:ilvl w:val="0"/>
          <w:numId w:val="3"/>
        </w:numPr>
        <w:spacing w:before="120"/>
        <w:ind w:left="568" w:hanging="284"/>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l’évaluation du nombre moyen de couples reproducteurs aux cent hectares ;</w:t>
      </w:r>
    </w:p>
    <w:p w14:paraId="6E226E98" w14:textId="77777777" w:rsidR="001A5A15" w:rsidRPr="007F4365" w:rsidRDefault="001A5A15" w:rsidP="001A5A15">
      <w:pPr>
        <w:numPr>
          <w:ilvl w:val="0"/>
          <w:numId w:val="3"/>
        </w:numPr>
        <w:spacing w:before="120"/>
        <w:ind w:left="568" w:hanging="284"/>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l’évaluation du succès de la reproduction ;</w:t>
      </w:r>
    </w:p>
    <w:p w14:paraId="39F9BF4C" w14:textId="77777777" w:rsidR="001A5A15" w:rsidRPr="007F4365" w:rsidRDefault="001A5A15" w:rsidP="001A5A15">
      <w:pPr>
        <w:numPr>
          <w:ilvl w:val="0"/>
          <w:numId w:val="3"/>
        </w:numPr>
        <w:spacing w:before="120"/>
        <w:ind w:left="568" w:hanging="284"/>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le nombre de perdrix lâchées, la superficie des territoires et l’époque à laquelle les lâchers ont eu lieu, pour chaque territoire ayant procédé à des lâchers de perdrix ;</w:t>
      </w:r>
    </w:p>
    <w:p w14:paraId="3D2C86AC" w14:textId="77777777" w:rsidR="001A5A15" w:rsidRPr="007F4365" w:rsidRDefault="001A5A15" w:rsidP="001A5A15">
      <w:pPr>
        <w:numPr>
          <w:ilvl w:val="0"/>
          <w:numId w:val="3"/>
        </w:numPr>
        <w:spacing w:before="120"/>
        <w:ind w:left="568" w:hanging="284"/>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les prélèvements de perdrix grises, en distinguant les oiseaux sauvages des oiseaux lâchés ;</w:t>
      </w:r>
    </w:p>
    <w:p w14:paraId="703759EF" w14:textId="77777777" w:rsidR="001A5A15" w:rsidRPr="007F4365" w:rsidRDefault="001A5A15" w:rsidP="001A5A15">
      <w:pPr>
        <w:numPr>
          <w:ilvl w:val="0"/>
          <w:numId w:val="3"/>
        </w:numPr>
        <w:spacing w:before="120"/>
        <w:ind w:left="568" w:hanging="284"/>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les améliorations de l’habitat en faveur de la perdrix grise ;</w:t>
      </w:r>
    </w:p>
    <w:p w14:paraId="0985A8CA" w14:textId="77777777" w:rsidR="007B3AB2" w:rsidRDefault="001A5A15" w:rsidP="007B3AB2">
      <w:pPr>
        <w:numPr>
          <w:ilvl w:val="0"/>
          <w:numId w:val="3"/>
        </w:numPr>
        <w:spacing w:before="120"/>
        <w:ind w:left="568" w:hanging="284"/>
        <w:jc w:val="both"/>
        <w:rPr>
          <w:rFonts w:ascii="Calibri" w:eastAsia="Calibri" w:hAnsi="Calibri" w:cs="Calibri"/>
          <w:color w:val="000000"/>
          <w:sz w:val="22"/>
          <w:szCs w:val="22"/>
          <w:lang w:val="fr-BE" w:eastAsia="fr-BE"/>
        </w:rPr>
      </w:pPr>
      <w:r w:rsidRPr="007F4365">
        <w:rPr>
          <w:rFonts w:ascii="Calibri" w:eastAsia="Calibri" w:hAnsi="Calibri" w:cs="Calibri"/>
          <w:color w:val="000000"/>
          <w:sz w:val="22"/>
          <w:szCs w:val="22"/>
          <w:lang w:val="fr-BE" w:eastAsia="fr-BE"/>
        </w:rPr>
        <w:t>les prélèvements des prédateurs de la perdrix grise, en distinguant les espèces concernées et les méthodes utilisées.</w:t>
      </w:r>
    </w:p>
    <w:p w14:paraId="74DF3C46" w14:textId="77777777" w:rsidR="007B3AB2" w:rsidRDefault="007B3AB2" w:rsidP="007B3AB2">
      <w:pPr>
        <w:jc w:val="both"/>
        <w:rPr>
          <w:rFonts w:ascii="Calibri" w:eastAsia="Calibri" w:hAnsi="Calibri" w:cs="Calibri"/>
          <w:color w:val="000000"/>
          <w:sz w:val="22"/>
          <w:szCs w:val="22"/>
          <w:lang w:val="fr-BE" w:eastAsia="fr-BE"/>
        </w:rPr>
      </w:pPr>
    </w:p>
    <w:p w14:paraId="3D2A3E98" w14:textId="2965F912" w:rsidR="00C33EF5" w:rsidRDefault="00C33EF5" w:rsidP="00327330">
      <w:pPr>
        <w:jc w:val="both"/>
        <w:rPr>
          <w:rFonts w:ascii="Calibri" w:eastAsia="Calibri" w:hAnsi="Calibri" w:cs="Calibri"/>
          <w:color w:val="000000"/>
          <w:sz w:val="22"/>
          <w:szCs w:val="22"/>
          <w:lang w:val="fr-BE" w:eastAsia="fr-BE"/>
        </w:rPr>
      </w:pPr>
      <w:r>
        <w:rPr>
          <w:rFonts w:ascii="Calibri" w:eastAsia="Calibri" w:hAnsi="Calibri" w:cs="Calibri"/>
          <w:color w:val="000000"/>
          <w:sz w:val="22"/>
          <w:szCs w:val="22"/>
          <w:lang w:val="fr-BE" w:eastAsia="fr-BE"/>
        </w:rPr>
        <w:t>Un a</w:t>
      </w:r>
      <w:r w:rsidRPr="00C33EF5">
        <w:rPr>
          <w:rFonts w:ascii="Calibri" w:eastAsia="Calibri" w:hAnsi="Calibri" w:cs="Calibri"/>
          <w:color w:val="000000"/>
          <w:sz w:val="22"/>
          <w:szCs w:val="22"/>
          <w:lang w:val="fr-BE" w:eastAsia="fr-BE"/>
        </w:rPr>
        <w:t>rrêté ministériel</w:t>
      </w:r>
      <w:r>
        <w:rPr>
          <w:rStyle w:val="Appelnotedebasdep"/>
          <w:rFonts w:ascii="Calibri" w:eastAsia="Calibri" w:hAnsi="Calibri" w:cs="Calibri"/>
          <w:color w:val="000000"/>
          <w:sz w:val="22"/>
          <w:szCs w:val="22"/>
          <w:lang w:val="fr-BE" w:eastAsia="fr-BE"/>
        </w:rPr>
        <w:footnoteReference w:id="2"/>
      </w:r>
      <w:r w:rsidRPr="00C33EF5">
        <w:rPr>
          <w:rFonts w:ascii="Calibri" w:eastAsia="Calibri" w:hAnsi="Calibri" w:cs="Calibri"/>
          <w:color w:val="000000"/>
          <w:sz w:val="22"/>
          <w:szCs w:val="22"/>
          <w:lang w:val="fr-BE" w:eastAsia="fr-BE"/>
        </w:rPr>
        <w:t xml:space="preserve"> </w:t>
      </w:r>
      <w:r>
        <w:rPr>
          <w:rFonts w:ascii="Calibri" w:eastAsia="Calibri" w:hAnsi="Calibri" w:cs="Calibri"/>
          <w:color w:val="000000"/>
          <w:sz w:val="22"/>
          <w:szCs w:val="22"/>
          <w:lang w:val="fr-BE" w:eastAsia="fr-BE"/>
        </w:rPr>
        <w:t xml:space="preserve">précise </w:t>
      </w:r>
      <w:r w:rsidRPr="00C33EF5">
        <w:rPr>
          <w:rFonts w:ascii="Calibri" w:eastAsia="Calibri" w:hAnsi="Calibri" w:cs="Calibri"/>
          <w:color w:val="000000"/>
          <w:sz w:val="22"/>
          <w:szCs w:val="22"/>
          <w:lang w:val="fr-BE" w:eastAsia="fr-BE"/>
        </w:rPr>
        <w:t xml:space="preserve">les modalités d'introduction et d'approbation </w:t>
      </w:r>
      <w:r w:rsidR="00327330">
        <w:rPr>
          <w:rFonts w:ascii="Calibri" w:eastAsia="Calibri" w:hAnsi="Calibri" w:cs="Calibri"/>
          <w:color w:val="000000"/>
          <w:sz w:val="22"/>
          <w:szCs w:val="22"/>
          <w:lang w:val="fr-BE" w:eastAsia="fr-BE"/>
        </w:rPr>
        <w:t xml:space="preserve">des </w:t>
      </w:r>
      <w:r w:rsidRPr="00C33EF5">
        <w:rPr>
          <w:rFonts w:ascii="Calibri" w:eastAsia="Calibri" w:hAnsi="Calibri" w:cs="Calibri"/>
          <w:color w:val="000000"/>
          <w:sz w:val="22"/>
          <w:szCs w:val="22"/>
          <w:lang w:val="fr-BE" w:eastAsia="fr-BE"/>
        </w:rPr>
        <w:t>rapports annuels</w:t>
      </w:r>
      <w:r w:rsidR="00327330">
        <w:rPr>
          <w:rFonts w:ascii="Calibri" w:eastAsia="Calibri" w:hAnsi="Calibri" w:cs="Calibri"/>
          <w:color w:val="000000"/>
          <w:sz w:val="22"/>
          <w:szCs w:val="22"/>
          <w:lang w:val="fr-BE" w:eastAsia="fr-BE"/>
        </w:rPr>
        <w:t xml:space="preserve">. Ces dernières peuvent être synthétisées comme suit : </w:t>
      </w:r>
    </w:p>
    <w:p w14:paraId="7406F8F4" w14:textId="77777777" w:rsidR="00EE3CD0" w:rsidRDefault="007B3AB2" w:rsidP="00523C77">
      <w:pPr>
        <w:pStyle w:val="Paragraphedeliste"/>
        <w:numPr>
          <w:ilvl w:val="0"/>
          <w:numId w:val="5"/>
        </w:numPr>
        <w:spacing w:before="120"/>
        <w:ind w:left="714" w:hanging="357"/>
        <w:contextualSpacing w:val="0"/>
        <w:jc w:val="both"/>
        <w:rPr>
          <w:rFonts w:ascii="Calibri" w:eastAsia="Calibri" w:hAnsi="Calibri" w:cs="Calibri"/>
          <w:color w:val="000000"/>
          <w:sz w:val="22"/>
          <w:szCs w:val="22"/>
          <w:lang w:val="fr-BE" w:eastAsia="fr-BE"/>
        </w:rPr>
      </w:pPr>
      <w:r w:rsidRPr="00EE3CD0">
        <w:rPr>
          <w:rFonts w:ascii="Calibri" w:eastAsia="Calibri" w:hAnsi="Calibri" w:cs="Calibri"/>
          <w:color w:val="000000"/>
          <w:sz w:val="22"/>
          <w:szCs w:val="22"/>
          <w:lang w:val="fr-BE" w:eastAsia="fr-BE"/>
        </w:rPr>
        <w:t>le rapport est soumis pour approbation à la directrice générale du SPW Agriculture, Ressources naturelles et Environnement</w:t>
      </w:r>
      <w:r w:rsidR="00EE3CD0" w:rsidRPr="00EE3CD0">
        <w:rPr>
          <w:rFonts w:ascii="Calibri" w:eastAsia="Calibri" w:hAnsi="Calibri" w:cs="Calibri"/>
          <w:color w:val="000000"/>
          <w:sz w:val="22"/>
          <w:szCs w:val="22"/>
          <w:lang w:val="fr-BE" w:eastAsia="fr-BE"/>
        </w:rPr>
        <w:t>,</w:t>
      </w:r>
      <w:r w:rsidRPr="00EE3CD0">
        <w:rPr>
          <w:rFonts w:ascii="Calibri" w:eastAsia="Calibri" w:hAnsi="Calibri" w:cs="Calibri"/>
          <w:color w:val="000000"/>
          <w:sz w:val="22"/>
          <w:szCs w:val="22"/>
          <w:lang w:val="fr-BE" w:eastAsia="fr-BE"/>
        </w:rPr>
        <w:t> pour le 1</w:t>
      </w:r>
      <w:r w:rsidRPr="00EE3CD0">
        <w:rPr>
          <w:rFonts w:ascii="Calibri" w:eastAsia="Calibri" w:hAnsi="Calibri" w:cs="Calibri"/>
          <w:color w:val="000000"/>
          <w:sz w:val="22"/>
          <w:szCs w:val="22"/>
          <w:vertAlign w:val="superscript"/>
          <w:lang w:val="fr-BE" w:eastAsia="fr-BE"/>
        </w:rPr>
        <w:t>er</w:t>
      </w:r>
      <w:r w:rsidRPr="00EE3CD0">
        <w:rPr>
          <w:rFonts w:ascii="Calibri" w:eastAsia="Calibri" w:hAnsi="Calibri" w:cs="Calibri"/>
          <w:color w:val="000000"/>
          <w:sz w:val="22"/>
          <w:szCs w:val="22"/>
          <w:lang w:val="fr-BE" w:eastAsia="fr-BE"/>
        </w:rPr>
        <w:t xml:space="preserve"> juin de chaque année</w:t>
      </w:r>
      <w:r w:rsidR="00EE3CD0" w:rsidRPr="00EE3CD0">
        <w:rPr>
          <w:rFonts w:ascii="Calibri" w:eastAsia="Calibri" w:hAnsi="Calibri" w:cs="Calibri"/>
          <w:color w:val="000000"/>
          <w:sz w:val="22"/>
          <w:szCs w:val="22"/>
          <w:lang w:val="fr-BE" w:eastAsia="fr-BE"/>
        </w:rPr>
        <w:t> ;</w:t>
      </w:r>
    </w:p>
    <w:p w14:paraId="722310EC" w14:textId="3B382598" w:rsidR="007B3AB2" w:rsidRPr="00EE3CD0" w:rsidRDefault="00EE3CD0" w:rsidP="00523C77">
      <w:pPr>
        <w:pStyle w:val="Paragraphedeliste"/>
        <w:numPr>
          <w:ilvl w:val="0"/>
          <w:numId w:val="5"/>
        </w:numPr>
        <w:spacing w:before="120"/>
        <w:ind w:left="714" w:hanging="357"/>
        <w:contextualSpacing w:val="0"/>
        <w:jc w:val="both"/>
        <w:rPr>
          <w:rFonts w:ascii="Calibri" w:eastAsia="Calibri" w:hAnsi="Calibri" w:cs="Calibri"/>
          <w:color w:val="000000"/>
          <w:sz w:val="22"/>
          <w:szCs w:val="22"/>
          <w:lang w:val="fr-BE" w:eastAsia="fr-BE"/>
        </w:rPr>
      </w:pPr>
      <w:r w:rsidRPr="00EE3CD0">
        <w:rPr>
          <w:rFonts w:ascii="Calibri" w:eastAsia="Calibri" w:hAnsi="Calibri" w:cs="Calibri"/>
          <w:color w:val="000000"/>
          <w:sz w:val="22"/>
          <w:szCs w:val="22"/>
          <w:lang w:val="fr-BE" w:eastAsia="fr-BE"/>
        </w:rPr>
        <w:t>l</w:t>
      </w:r>
      <w:r w:rsidR="007B3AB2" w:rsidRPr="00EE3CD0">
        <w:rPr>
          <w:rFonts w:ascii="Calibri" w:eastAsia="Calibri" w:hAnsi="Calibri" w:cs="Calibri"/>
          <w:color w:val="000000"/>
          <w:sz w:val="22"/>
          <w:szCs w:val="22"/>
          <w:lang w:val="fr-BE" w:eastAsia="fr-BE"/>
        </w:rPr>
        <w:t>e rapport reprend les données chiffrées du ou des rapports de gestion annuels précédents afin que le dernier rapport fournisse une vue d'ensemble de l'application du plan de gestion</w:t>
      </w:r>
      <w:r w:rsidRPr="00EE3CD0">
        <w:rPr>
          <w:rFonts w:ascii="Calibri" w:eastAsia="Calibri" w:hAnsi="Calibri" w:cs="Calibri"/>
          <w:color w:val="000000"/>
          <w:sz w:val="22"/>
          <w:szCs w:val="22"/>
          <w:lang w:val="fr-BE" w:eastAsia="fr-BE"/>
        </w:rPr>
        <w:t> ;</w:t>
      </w:r>
    </w:p>
    <w:p w14:paraId="258AAB39" w14:textId="77777777" w:rsidR="00EE3CD0" w:rsidRDefault="00EE3CD0" w:rsidP="00523C77">
      <w:pPr>
        <w:pStyle w:val="Paragraphedeliste"/>
        <w:numPr>
          <w:ilvl w:val="0"/>
          <w:numId w:val="5"/>
        </w:numPr>
        <w:spacing w:before="120"/>
        <w:ind w:left="714" w:hanging="357"/>
        <w:contextualSpacing w:val="0"/>
        <w:jc w:val="both"/>
        <w:rPr>
          <w:rFonts w:ascii="Calibri" w:eastAsia="Calibri" w:hAnsi="Calibri" w:cs="Calibri"/>
          <w:color w:val="000000"/>
          <w:sz w:val="22"/>
          <w:szCs w:val="22"/>
          <w:lang w:val="fr-BE" w:eastAsia="fr-BE"/>
        </w:rPr>
      </w:pPr>
      <w:r>
        <w:rPr>
          <w:rFonts w:ascii="Calibri" w:eastAsia="Calibri" w:hAnsi="Calibri" w:cs="Calibri"/>
          <w:color w:val="000000"/>
          <w:sz w:val="22"/>
          <w:szCs w:val="22"/>
          <w:lang w:val="fr-BE" w:eastAsia="fr-BE"/>
        </w:rPr>
        <w:t>l</w:t>
      </w:r>
      <w:r w:rsidR="00C33EF5" w:rsidRPr="00C33EF5">
        <w:rPr>
          <w:rFonts w:ascii="Calibri" w:eastAsia="Calibri" w:hAnsi="Calibri" w:cs="Calibri"/>
          <w:color w:val="000000"/>
          <w:sz w:val="22"/>
          <w:szCs w:val="22"/>
          <w:lang w:val="fr-BE" w:eastAsia="fr-BE"/>
        </w:rPr>
        <w:t>e rapport est préalablement approuvé</w:t>
      </w:r>
      <w:r w:rsidR="00327330" w:rsidRPr="00EE3CD0">
        <w:rPr>
          <w:rFonts w:ascii="Calibri" w:eastAsia="Calibri" w:hAnsi="Calibri" w:cs="Calibri"/>
          <w:color w:val="000000"/>
          <w:sz w:val="22"/>
          <w:szCs w:val="22"/>
          <w:lang w:val="fr-BE" w:eastAsia="fr-BE"/>
        </w:rPr>
        <w:t xml:space="preserve"> </w:t>
      </w:r>
      <w:r w:rsidR="00C33EF5" w:rsidRPr="00C33EF5">
        <w:rPr>
          <w:rFonts w:ascii="Calibri" w:eastAsia="Calibri" w:hAnsi="Calibri" w:cs="Calibri"/>
          <w:color w:val="000000"/>
          <w:sz w:val="22"/>
          <w:szCs w:val="22"/>
          <w:lang w:val="fr-BE" w:eastAsia="fr-BE"/>
        </w:rPr>
        <w:t>par l'assemblée générale du conseil</w:t>
      </w:r>
      <w:r w:rsidR="00327330" w:rsidRPr="00EE3CD0">
        <w:rPr>
          <w:rFonts w:ascii="Calibri" w:eastAsia="Calibri" w:hAnsi="Calibri" w:cs="Calibri"/>
          <w:color w:val="000000"/>
          <w:sz w:val="22"/>
          <w:szCs w:val="22"/>
          <w:lang w:val="fr-BE" w:eastAsia="fr-BE"/>
        </w:rPr>
        <w:t xml:space="preserve"> ou </w:t>
      </w:r>
      <w:r w:rsidR="00C33EF5" w:rsidRPr="00C33EF5">
        <w:rPr>
          <w:rFonts w:ascii="Calibri" w:eastAsia="Calibri" w:hAnsi="Calibri" w:cs="Calibri"/>
          <w:color w:val="000000"/>
          <w:sz w:val="22"/>
          <w:szCs w:val="22"/>
          <w:lang w:val="fr-BE" w:eastAsia="fr-BE"/>
        </w:rPr>
        <w:t xml:space="preserve">par </w:t>
      </w:r>
      <w:r w:rsidR="00327330" w:rsidRPr="00EE3CD0">
        <w:rPr>
          <w:rFonts w:ascii="Calibri" w:eastAsia="Calibri" w:hAnsi="Calibri" w:cs="Calibri"/>
          <w:color w:val="000000"/>
          <w:sz w:val="22"/>
          <w:szCs w:val="22"/>
          <w:lang w:val="fr-BE" w:eastAsia="fr-BE"/>
        </w:rPr>
        <w:t>son</w:t>
      </w:r>
      <w:r w:rsidR="00C33EF5" w:rsidRPr="00C33EF5">
        <w:rPr>
          <w:rFonts w:ascii="Calibri" w:eastAsia="Calibri" w:hAnsi="Calibri" w:cs="Calibri"/>
          <w:color w:val="000000"/>
          <w:sz w:val="22"/>
          <w:szCs w:val="22"/>
          <w:lang w:val="fr-BE" w:eastAsia="fr-BE"/>
        </w:rPr>
        <w:t xml:space="preserve"> conseil d'administration dûment mandaté par l'assemblé générale</w:t>
      </w:r>
      <w:r>
        <w:rPr>
          <w:rFonts w:ascii="Calibri" w:eastAsia="Calibri" w:hAnsi="Calibri" w:cs="Calibri"/>
          <w:color w:val="000000"/>
          <w:sz w:val="22"/>
          <w:szCs w:val="22"/>
          <w:lang w:val="fr-BE" w:eastAsia="fr-BE"/>
        </w:rPr>
        <w:t> ;</w:t>
      </w:r>
    </w:p>
    <w:p w14:paraId="680806BE" w14:textId="0F74D1BE" w:rsidR="00C33EF5" w:rsidRPr="00C33EF5" w:rsidRDefault="00EE3CD0" w:rsidP="00523C77">
      <w:pPr>
        <w:pStyle w:val="Paragraphedeliste"/>
        <w:numPr>
          <w:ilvl w:val="0"/>
          <w:numId w:val="5"/>
        </w:numPr>
        <w:spacing w:before="120"/>
        <w:ind w:left="714" w:hanging="357"/>
        <w:contextualSpacing w:val="0"/>
        <w:jc w:val="both"/>
        <w:rPr>
          <w:rFonts w:ascii="Calibri" w:eastAsia="Calibri" w:hAnsi="Calibri" w:cs="Calibri"/>
          <w:color w:val="000000"/>
          <w:sz w:val="22"/>
          <w:szCs w:val="22"/>
          <w:lang w:val="fr-BE" w:eastAsia="fr-BE"/>
        </w:rPr>
      </w:pPr>
      <w:r>
        <w:rPr>
          <w:rFonts w:ascii="Calibri" w:eastAsia="Calibri" w:hAnsi="Calibri" w:cs="Calibri"/>
          <w:color w:val="000000"/>
          <w:sz w:val="22"/>
          <w:szCs w:val="22"/>
          <w:lang w:val="fr-BE" w:eastAsia="fr-BE"/>
        </w:rPr>
        <w:t>l</w:t>
      </w:r>
      <w:r w:rsidR="00C33EF5" w:rsidRPr="00C33EF5">
        <w:rPr>
          <w:rFonts w:ascii="Calibri" w:eastAsia="Calibri" w:hAnsi="Calibri" w:cs="Calibri"/>
          <w:color w:val="000000"/>
          <w:sz w:val="22"/>
          <w:szCs w:val="22"/>
          <w:lang w:val="fr-BE" w:eastAsia="fr-BE"/>
        </w:rPr>
        <w:t>e procès-verbal de l'organe de gestion du conseil ayant approuvé le rapport annuel de gestion est joint au rapport.</w:t>
      </w:r>
    </w:p>
    <w:p w14:paraId="67C15CBA" w14:textId="77777777" w:rsidR="00EE3CD0" w:rsidRDefault="00EE3CD0" w:rsidP="007B3AB2">
      <w:pPr>
        <w:jc w:val="both"/>
        <w:rPr>
          <w:rFonts w:ascii="Calibri" w:eastAsia="Calibri" w:hAnsi="Calibri" w:cs="Calibri"/>
          <w:color w:val="000000"/>
          <w:sz w:val="22"/>
          <w:szCs w:val="22"/>
          <w:lang w:val="fr-BE" w:eastAsia="fr-BE"/>
        </w:rPr>
      </w:pPr>
    </w:p>
    <w:p w14:paraId="16CDF9DA" w14:textId="4CBBBFF7" w:rsidR="00C33EF5" w:rsidRDefault="00EE3CD0" w:rsidP="007B3AB2">
      <w:pPr>
        <w:jc w:val="both"/>
        <w:rPr>
          <w:rFonts w:ascii="Calibri" w:eastAsia="Calibri" w:hAnsi="Calibri" w:cs="Calibri"/>
          <w:color w:val="000000"/>
          <w:sz w:val="22"/>
          <w:szCs w:val="22"/>
          <w:lang w:val="fr-BE" w:eastAsia="fr-BE"/>
        </w:rPr>
      </w:pPr>
      <w:r>
        <w:rPr>
          <w:rFonts w:ascii="Calibri" w:eastAsia="Calibri" w:hAnsi="Calibri" w:cs="Calibri"/>
          <w:color w:val="000000"/>
          <w:sz w:val="22"/>
          <w:szCs w:val="22"/>
          <w:lang w:val="fr-BE" w:eastAsia="fr-BE"/>
        </w:rPr>
        <w:t xml:space="preserve">Par ailleurs, pour rappel, la directrice générale </w:t>
      </w:r>
      <w:r w:rsidR="00C33EF5" w:rsidRPr="00C33EF5">
        <w:rPr>
          <w:rFonts w:ascii="Calibri" w:eastAsia="Calibri" w:hAnsi="Calibri" w:cs="Calibri"/>
          <w:color w:val="000000"/>
          <w:sz w:val="22"/>
          <w:szCs w:val="22"/>
          <w:lang w:val="fr-BE" w:eastAsia="fr-BE"/>
        </w:rPr>
        <w:t>dispose de trente jours ouvrables, à partir de la date de réception du rapport annuel de gestion pour statuer sur la demande d'approbation du rapport.</w:t>
      </w:r>
      <w:r>
        <w:rPr>
          <w:rFonts w:ascii="Calibri" w:eastAsia="Calibri" w:hAnsi="Calibri" w:cs="Calibri"/>
          <w:color w:val="000000"/>
          <w:sz w:val="22"/>
          <w:szCs w:val="22"/>
          <w:lang w:val="fr-BE" w:eastAsia="fr-BE"/>
        </w:rPr>
        <w:t xml:space="preserve"> </w:t>
      </w:r>
      <w:r w:rsidR="00C33EF5" w:rsidRPr="00C33EF5">
        <w:rPr>
          <w:rFonts w:ascii="Calibri" w:eastAsia="Calibri" w:hAnsi="Calibri" w:cs="Calibri"/>
          <w:color w:val="000000"/>
          <w:sz w:val="22"/>
          <w:szCs w:val="22"/>
          <w:lang w:val="fr-BE" w:eastAsia="fr-BE"/>
        </w:rPr>
        <w:t xml:space="preserve">L'absence de décision dans </w:t>
      </w:r>
      <w:r w:rsidR="005160C8">
        <w:rPr>
          <w:rFonts w:ascii="Calibri" w:eastAsia="Calibri" w:hAnsi="Calibri" w:cs="Calibri"/>
          <w:color w:val="000000"/>
          <w:sz w:val="22"/>
          <w:szCs w:val="22"/>
          <w:lang w:val="fr-BE" w:eastAsia="fr-BE"/>
        </w:rPr>
        <w:t>c</w:t>
      </w:r>
      <w:r w:rsidR="00C33EF5" w:rsidRPr="00C33EF5">
        <w:rPr>
          <w:rFonts w:ascii="Calibri" w:eastAsia="Calibri" w:hAnsi="Calibri" w:cs="Calibri"/>
          <w:color w:val="000000"/>
          <w:sz w:val="22"/>
          <w:szCs w:val="22"/>
          <w:lang w:val="fr-BE" w:eastAsia="fr-BE"/>
        </w:rPr>
        <w:t>e délai n'autorise pas à chasser la perdrix grise dans les territoires relevant du conseil cynégétique.</w:t>
      </w:r>
    </w:p>
    <w:p w14:paraId="59C04D75" w14:textId="41685C78" w:rsidR="00883C6C" w:rsidRDefault="00883C6C" w:rsidP="007B3AB2">
      <w:pPr>
        <w:jc w:val="both"/>
        <w:rPr>
          <w:rFonts w:ascii="Calibri" w:eastAsia="Calibri" w:hAnsi="Calibri" w:cs="Calibri"/>
          <w:color w:val="000000"/>
          <w:sz w:val="22"/>
          <w:szCs w:val="22"/>
          <w:lang w:val="fr-BE" w:eastAsia="fr-BE"/>
        </w:rPr>
      </w:pPr>
    </w:p>
    <w:p w14:paraId="5BB02EB3" w14:textId="745DC40A" w:rsidR="00883C6C" w:rsidRDefault="00883C6C" w:rsidP="007B3AB2">
      <w:pPr>
        <w:jc w:val="both"/>
        <w:rPr>
          <w:rFonts w:ascii="Calibri" w:eastAsia="Calibri" w:hAnsi="Calibri" w:cs="Calibri"/>
          <w:color w:val="000000"/>
          <w:sz w:val="22"/>
          <w:szCs w:val="22"/>
          <w:lang w:val="fr-BE" w:eastAsia="fr-BE"/>
        </w:rPr>
      </w:pPr>
      <w:r>
        <w:rPr>
          <w:rFonts w:ascii="Calibri" w:eastAsia="Calibri" w:hAnsi="Calibri" w:cs="Calibri"/>
          <w:color w:val="000000"/>
          <w:sz w:val="22"/>
          <w:szCs w:val="22"/>
          <w:lang w:val="fr-BE" w:eastAsia="fr-BE"/>
        </w:rPr>
        <w:t xml:space="preserve">N.B. : </w:t>
      </w:r>
      <w:r w:rsidRPr="00883C6C">
        <w:rPr>
          <w:rFonts w:ascii="Calibri" w:eastAsia="Calibri" w:hAnsi="Calibri" w:cs="Calibri"/>
          <w:color w:val="000000"/>
          <w:sz w:val="22"/>
          <w:szCs w:val="22"/>
          <w:lang w:val="fr-BE" w:eastAsia="fr-BE"/>
        </w:rPr>
        <w:t xml:space="preserve">L’objectif ultime des </w:t>
      </w:r>
      <w:r>
        <w:rPr>
          <w:rFonts w:ascii="Calibri" w:eastAsia="Calibri" w:hAnsi="Calibri" w:cs="Calibri"/>
          <w:color w:val="000000"/>
          <w:sz w:val="22"/>
          <w:szCs w:val="22"/>
          <w:lang w:val="fr-BE" w:eastAsia="fr-BE"/>
        </w:rPr>
        <w:t xml:space="preserve">plans de gestion de la perdrix grise </w:t>
      </w:r>
      <w:r w:rsidRPr="00883C6C">
        <w:rPr>
          <w:rFonts w:ascii="Calibri" w:eastAsia="Calibri" w:hAnsi="Calibri" w:cs="Calibri"/>
          <w:color w:val="000000"/>
          <w:sz w:val="22"/>
          <w:szCs w:val="22"/>
          <w:lang w:val="fr-BE" w:eastAsia="fr-BE"/>
        </w:rPr>
        <w:t xml:space="preserve">est de démontrer que le chasseur, par son action sur le terrain, </w:t>
      </w:r>
      <w:r>
        <w:rPr>
          <w:rFonts w:ascii="Calibri" w:eastAsia="Calibri" w:hAnsi="Calibri" w:cs="Calibri"/>
          <w:color w:val="000000"/>
          <w:sz w:val="22"/>
          <w:szCs w:val="22"/>
          <w:lang w:val="fr-BE" w:eastAsia="fr-BE"/>
        </w:rPr>
        <w:t xml:space="preserve">constitue </w:t>
      </w:r>
      <w:r w:rsidRPr="00883C6C">
        <w:rPr>
          <w:rFonts w:ascii="Calibri" w:eastAsia="Calibri" w:hAnsi="Calibri" w:cs="Calibri"/>
          <w:color w:val="000000"/>
          <w:sz w:val="22"/>
          <w:szCs w:val="22"/>
          <w:lang w:val="fr-BE" w:eastAsia="fr-BE"/>
        </w:rPr>
        <w:t xml:space="preserve">une valeur ajoutée pour l’espèce et </w:t>
      </w:r>
      <w:r w:rsidR="00D46DEB">
        <w:rPr>
          <w:rFonts w:ascii="Calibri" w:eastAsia="Calibri" w:hAnsi="Calibri" w:cs="Calibri"/>
          <w:color w:val="000000"/>
          <w:sz w:val="22"/>
          <w:szCs w:val="22"/>
          <w:lang w:val="fr-BE" w:eastAsia="fr-BE"/>
        </w:rPr>
        <w:t>non</w:t>
      </w:r>
      <w:r w:rsidRPr="00883C6C">
        <w:rPr>
          <w:rFonts w:ascii="Calibri" w:eastAsia="Calibri" w:hAnsi="Calibri" w:cs="Calibri"/>
          <w:color w:val="000000"/>
          <w:sz w:val="22"/>
          <w:szCs w:val="22"/>
          <w:lang w:val="fr-BE" w:eastAsia="fr-BE"/>
        </w:rPr>
        <w:t xml:space="preserve"> un facteur de déclin.</w:t>
      </w:r>
      <w:r>
        <w:rPr>
          <w:rFonts w:ascii="Calibri" w:eastAsia="Calibri" w:hAnsi="Calibri" w:cs="Calibri"/>
          <w:color w:val="000000"/>
          <w:sz w:val="22"/>
          <w:szCs w:val="22"/>
          <w:lang w:val="fr-BE" w:eastAsia="fr-BE"/>
        </w:rPr>
        <w:t xml:space="preserve"> Si la démonstration peut être faite, la Directive « Oiseaux » ne constitue pas un frein à l’exercice de la chasse</w:t>
      </w:r>
      <w:r w:rsidR="00D83D2C">
        <w:rPr>
          <w:rFonts w:ascii="Calibri" w:eastAsia="Calibri" w:hAnsi="Calibri" w:cs="Calibri"/>
          <w:color w:val="000000"/>
          <w:sz w:val="22"/>
          <w:szCs w:val="22"/>
          <w:lang w:val="fr-BE" w:eastAsia="fr-BE"/>
        </w:rPr>
        <w:t xml:space="preserve"> d’une espèce, même en mauvais état de conservation</w:t>
      </w:r>
      <w:r>
        <w:rPr>
          <w:rFonts w:ascii="Calibri" w:eastAsia="Calibri" w:hAnsi="Calibri" w:cs="Calibri"/>
          <w:color w:val="000000"/>
          <w:sz w:val="22"/>
          <w:szCs w:val="22"/>
          <w:lang w:val="fr-BE" w:eastAsia="fr-BE"/>
        </w:rPr>
        <w:t xml:space="preserve">. Le </w:t>
      </w:r>
      <w:r w:rsidRPr="00D46DEB">
        <w:rPr>
          <w:rFonts w:ascii="Calibri" w:eastAsia="Calibri" w:hAnsi="Calibri" w:cs="Calibri"/>
          <w:i/>
          <w:iCs/>
          <w:color w:val="000000"/>
          <w:sz w:val="22"/>
          <w:szCs w:val="22"/>
          <w:lang w:val="fr-BE" w:eastAsia="fr-BE"/>
        </w:rPr>
        <w:t>Guide sur la chasse en application de la Directive « Oiseaux »</w:t>
      </w:r>
      <w:r w:rsidRPr="00883C6C">
        <w:rPr>
          <w:rFonts w:ascii="Calibri" w:eastAsia="Calibri" w:hAnsi="Calibri" w:cs="Calibri"/>
          <w:color w:val="000000"/>
          <w:sz w:val="22"/>
          <w:szCs w:val="22"/>
          <w:lang w:val="fr-BE" w:eastAsia="fr-BE"/>
        </w:rPr>
        <w:t xml:space="preserve"> (Commission européenne, 2008), rappelle qu’un contrôle légal de prédateurs, réalisé conjointement avec une amélioration de l'habitat, peut bénéficier non seulement aux espèces chassées, mais offre également de plus larges avantages environnementaux</w:t>
      </w:r>
      <w:r>
        <w:rPr>
          <w:rFonts w:ascii="Calibri" w:eastAsia="Calibri" w:hAnsi="Calibri" w:cs="Calibri"/>
          <w:color w:val="000000"/>
          <w:sz w:val="22"/>
          <w:szCs w:val="22"/>
          <w:lang w:val="fr-BE" w:eastAsia="fr-BE"/>
        </w:rPr>
        <w:t>.</w:t>
      </w:r>
    </w:p>
    <w:p w14:paraId="54DF6F7E" w14:textId="1AC51296" w:rsidR="00523C77" w:rsidRDefault="00523C77" w:rsidP="007B3AB2">
      <w:pPr>
        <w:jc w:val="both"/>
        <w:rPr>
          <w:rFonts w:ascii="Calibri" w:eastAsia="Calibri" w:hAnsi="Calibri" w:cs="Calibri"/>
          <w:color w:val="000000"/>
          <w:sz w:val="22"/>
          <w:szCs w:val="22"/>
          <w:lang w:val="fr-BE" w:eastAsia="fr-BE"/>
        </w:rPr>
      </w:pPr>
    </w:p>
    <w:p w14:paraId="3419D5CF" w14:textId="77777777" w:rsidR="00771876" w:rsidRDefault="00771876" w:rsidP="007B3AB2">
      <w:pPr>
        <w:jc w:val="both"/>
        <w:rPr>
          <w:rFonts w:ascii="Calibri" w:eastAsia="Calibri" w:hAnsi="Calibri" w:cs="Calibri"/>
          <w:color w:val="000000"/>
          <w:sz w:val="22"/>
          <w:szCs w:val="22"/>
          <w:lang w:val="fr-BE" w:eastAsia="fr-BE"/>
        </w:rPr>
      </w:pPr>
    </w:p>
    <w:p w14:paraId="5872E8F6" w14:textId="0CF1688E" w:rsidR="009A2E51" w:rsidRPr="007F4365" w:rsidRDefault="009A2E51" w:rsidP="009A2E51">
      <w:pPr>
        <w:pStyle w:val="Titre3"/>
      </w:pPr>
      <w:r>
        <w:t xml:space="preserve">Check-list en vue d’établir le </w:t>
      </w:r>
      <w:r w:rsidR="00822567">
        <w:t>rapport</w:t>
      </w:r>
      <w:r>
        <w:t xml:space="preserve"> annuel dans le cadre du plan de gestion de la perdrix grise</w:t>
      </w:r>
    </w:p>
    <w:p w14:paraId="53CEAAD5" w14:textId="2444C2FD" w:rsidR="009A2E51" w:rsidRPr="007E312F" w:rsidRDefault="009A2E51" w:rsidP="007E312F">
      <w:pPr>
        <w:jc w:val="both"/>
        <w:rPr>
          <w:rFonts w:cstheme="minorHAnsi"/>
          <w:sz w:val="22"/>
          <w:szCs w:val="22"/>
        </w:rPr>
      </w:pPr>
    </w:p>
    <w:p w14:paraId="30199064" w14:textId="5CDB778D" w:rsidR="00B374ED" w:rsidRPr="007E312F" w:rsidRDefault="00B374ED" w:rsidP="007E312F">
      <w:pPr>
        <w:pStyle w:val="Titre4"/>
      </w:pPr>
      <w:r w:rsidRPr="007E312F">
        <w:t>Données d’identification</w:t>
      </w:r>
    </w:p>
    <w:p w14:paraId="68162966" w14:textId="42AD51A1" w:rsidR="00EC6C08" w:rsidRPr="007E312F" w:rsidRDefault="009A2E51" w:rsidP="007E312F">
      <w:pPr>
        <w:pStyle w:val="Paragraphedeliste"/>
        <w:numPr>
          <w:ilvl w:val="0"/>
          <w:numId w:val="5"/>
        </w:numPr>
        <w:contextualSpacing w:val="0"/>
        <w:jc w:val="both"/>
        <w:rPr>
          <w:rFonts w:cstheme="minorHAnsi"/>
          <w:sz w:val="22"/>
          <w:szCs w:val="22"/>
          <w:lang w:val="fr-BE"/>
        </w:rPr>
      </w:pPr>
      <w:r w:rsidRPr="007E312F">
        <w:rPr>
          <w:rFonts w:cstheme="minorHAnsi"/>
          <w:sz w:val="22"/>
          <w:szCs w:val="22"/>
        </w:rPr>
        <w:t xml:space="preserve">Dénomination du </w:t>
      </w:r>
      <w:r w:rsidR="00EC6C08" w:rsidRPr="007E312F">
        <w:rPr>
          <w:rFonts w:cstheme="minorHAnsi"/>
          <w:sz w:val="22"/>
          <w:szCs w:val="22"/>
        </w:rPr>
        <w:t xml:space="preserve">conseil </w:t>
      </w:r>
      <w:r w:rsidRPr="007E312F">
        <w:rPr>
          <w:rFonts w:cstheme="minorHAnsi"/>
          <w:sz w:val="22"/>
          <w:szCs w:val="22"/>
          <w:lang w:val="fr-BE"/>
        </w:rPr>
        <w:t>cynégétique</w:t>
      </w:r>
    </w:p>
    <w:p w14:paraId="0DBAAAFC" w14:textId="036A0651" w:rsidR="00EC6C08" w:rsidRPr="007E312F" w:rsidRDefault="00EC6C08" w:rsidP="007E312F">
      <w:pPr>
        <w:pStyle w:val="Paragraphedeliste"/>
        <w:numPr>
          <w:ilvl w:val="0"/>
          <w:numId w:val="5"/>
        </w:numPr>
        <w:contextualSpacing w:val="0"/>
        <w:jc w:val="both"/>
        <w:rPr>
          <w:rFonts w:cstheme="minorHAnsi"/>
          <w:sz w:val="22"/>
          <w:szCs w:val="22"/>
          <w:lang w:val="fr-BE"/>
        </w:rPr>
      </w:pPr>
      <w:r w:rsidRPr="007E312F">
        <w:rPr>
          <w:rFonts w:cstheme="minorHAnsi"/>
          <w:sz w:val="22"/>
          <w:szCs w:val="22"/>
          <w:lang w:val="fr-BE"/>
        </w:rPr>
        <w:t>Saison cynégétique</w:t>
      </w:r>
      <w:r w:rsidR="007E312F">
        <w:rPr>
          <w:rFonts w:cstheme="minorHAnsi"/>
          <w:sz w:val="22"/>
          <w:szCs w:val="22"/>
          <w:lang w:val="fr-BE"/>
        </w:rPr>
        <w:t xml:space="preserve"> (</w:t>
      </w:r>
      <w:r w:rsidR="00C90F60">
        <w:rPr>
          <w:rFonts w:cstheme="minorHAnsi"/>
          <w:sz w:val="22"/>
          <w:szCs w:val="22"/>
          <w:lang w:val="fr-BE"/>
        </w:rPr>
        <w:t>n</w:t>
      </w:r>
      <w:r w:rsidR="007E312F">
        <w:rPr>
          <w:rFonts w:cstheme="minorHAnsi"/>
          <w:sz w:val="22"/>
          <w:szCs w:val="22"/>
          <w:lang w:val="fr-BE"/>
        </w:rPr>
        <w:t>/</w:t>
      </w:r>
      <w:r w:rsidR="00C90F60">
        <w:rPr>
          <w:rFonts w:cstheme="minorHAnsi"/>
          <w:sz w:val="22"/>
          <w:szCs w:val="22"/>
          <w:lang w:val="fr-BE"/>
        </w:rPr>
        <w:t>n+1</w:t>
      </w:r>
      <w:r w:rsidR="007E312F">
        <w:rPr>
          <w:rFonts w:cstheme="minorHAnsi"/>
          <w:sz w:val="22"/>
          <w:szCs w:val="22"/>
          <w:lang w:val="fr-BE"/>
        </w:rPr>
        <w:t>)</w:t>
      </w:r>
    </w:p>
    <w:p w14:paraId="7FC5285F" w14:textId="347B5CB0" w:rsidR="00B374ED" w:rsidRPr="00C90F60" w:rsidRDefault="00C90F60" w:rsidP="007E312F">
      <w:pPr>
        <w:pStyle w:val="Paragraphedeliste"/>
        <w:numPr>
          <w:ilvl w:val="0"/>
          <w:numId w:val="5"/>
        </w:numPr>
        <w:contextualSpacing w:val="0"/>
        <w:jc w:val="both"/>
        <w:rPr>
          <w:rFonts w:cstheme="minorHAnsi"/>
          <w:sz w:val="22"/>
          <w:szCs w:val="22"/>
          <w:lang w:val="fr-BE"/>
        </w:rPr>
      </w:pPr>
      <w:r w:rsidRPr="00C90F60">
        <w:rPr>
          <w:rFonts w:cstheme="minorHAnsi"/>
          <w:sz w:val="22"/>
          <w:szCs w:val="22"/>
          <w:lang w:val="fr-BE"/>
        </w:rPr>
        <w:t>Facultatif : c</w:t>
      </w:r>
      <w:r w:rsidR="00B374ED" w:rsidRPr="00C90F60">
        <w:rPr>
          <w:rFonts w:cstheme="minorHAnsi"/>
          <w:sz w:val="22"/>
          <w:szCs w:val="22"/>
          <w:lang w:val="fr-BE"/>
        </w:rPr>
        <w:t xml:space="preserve">arte </w:t>
      </w:r>
      <w:r w:rsidRPr="00C90F60">
        <w:rPr>
          <w:rFonts w:cstheme="minorHAnsi"/>
          <w:sz w:val="22"/>
          <w:szCs w:val="22"/>
          <w:lang w:val="fr-BE"/>
        </w:rPr>
        <w:t xml:space="preserve">mise à jour </w:t>
      </w:r>
      <w:r w:rsidR="00B374ED" w:rsidRPr="00C90F60">
        <w:rPr>
          <w:rFonts w:cstheme="minorHAnsi"/>
          <w:sz w:val="22"/>
          <w:szCs w:val="22"/>
          <w:lang w:val="fr-BE"/>
        </w:rPr>
        <w:t>des unités de gestion</w:t>
      </w:r>
    </w:p>
    <w:p w14:paraId="5C09A3A8" w14:textId="77777777" w:rsidR="00B374ED" w:rsidRPr="007E312F" w:rsidRDefault="00B374ED" w:rsidP="007E312F">
      <w:pPr>
        <w:jc w:val="both"/>
        <w:rPr>
          <w:rFonts w:cstheme="minorHAnsi"/>
          <w:sz w:val="22"/>
          <w:szCs w:val="22"/>
          <w:lang w:val="fr-BE"/>
        </w:rPr>
      </w:pPr>
    </w:p>
    <w:p w14:paraId="2B4DF094" w14:textId="450310A1" w:rsidR="00B374ED" w:rsidRPr="007E312F" w:rsidRDefault="00E8511F" w:rsidP="007E312F">
      <w:pPr>
        <w:pStyle w:val="Titre4"/>
        <w:rPr>
          <w:rFonts w:eastAsia="Calibri"/>
          <w:lang w:val="fr-BE" w:eastAsia="fr-BE"/>
        </w:rPr>
      </w:pPr>
      <w:r w:rsidRPr="007E312F">
        <w:rPr>
          <w:rFonts w:eastAsia="Calibri"/>
          <w:lang w:val="fr-BE" w:eastAsia="fr-BE"/>
        </w:rPr>
        <w:t>Population de perdrix au printemps</w:t>
      </w:r>
      <w:r w:rsidR="00C90F60">
        <w:rPr>
          <w:rFonts w:eastAsia="Calibri"/>
          <w:lang w:val="fr-BE" w:eastAsia="fr-BE"/>
        </w:rPr>
        <w:t xml:space="preserve"> (année n)</w:t>
      </w:r>
    </w:p>
    <w:p w14:paraId="133BAAB5" w14:textId="27E581B4" w:rsidR="00B374ED" w:rsidRPr="007E312F" w:rsidRDefault="00B374ED" w:rsidP="007E312F">
      <w:pPr>
        <w:pStyle w:val="Paragraphedeliste"/>
        <w:numPr>
          <w:ilvl w:val="0"/>
          <w:numId w:val="5"/>
        </w:numPr>
        <w:contextualSpacing w:val="0"/>
        <w:jc w:val="both"/>
        <w:rPr>
          <w:rFonts w:cstheme="minorHAnsi"/>
          <w:sz w:val="22"/>
          <w:szCs w:val="22"/>
          <w:lang w:val="fr-BE"/>
        </w:rPr>
      </w:pPr>
      <w:r w:rsidRPr="007E312F">
        <w:rPr>
          <w:rFonts w:cstheme="minorHAnsi"/>
          <w:sz w:val="22"/>
          <w:szCs w:val="22"/>
          <w:lang w:val="fr-BE"/>
        </w:rPr>
        <w:t>Méthode de comptage utilisée, par unité de gestion</w:t>
      </w:r>
      <w:r w:rsidR="00B83533">
        <w:rPr>
          <w:rFonts w:cstheme="minorHAnsi"/>
          <w:sz w:val="22"/>
          <w:szCs w:val="22"/>
          <w:lang w:val="fr-BE"/>
        </w:rPr>
        <w:t> : c</w:t>
      </w:r>
      <w:r w:rsidR="00B83533" w:rsidRPr="00B83533">
        <w:rPr>
          <w:rFonts w:cstheme="minorHAnsi"/>
          <w:sz w:val="22"/>
          <w:szCs w:val="22"/>
          <w:lang w:val="fr-BE"/>
        </w:rPr>
        <w:t>omptage par points d’écoute avec « repasse » ; comptage par battue à blanc ; observation en continu ; autre méthode (à préciser</w:t>
      </w:r>
      <w:r w:rsidR="00B83533">
        <w:rPr>
          <w:rFonts w:cstheme="minorHAnsi"/>
          <w:sz w:val="22"/>
          <w:szCs w:val="22"/>
          <w:lang w:val="fr-BE"/>
        </w:rPr>
        <w:t>)</w:t>
      </w:r>
    </w:p>
    <w:p w14:paraId="219287F3" w14:textId="2352728F" w:rsidR="00E8511F" w:rsidRDefault="00E8511F" w:rsidP="007E312F">
      <w:pPr>
        <w:pStyle w:val="Paragraphedeliste"/>
        <w:numPr>
          <w:ilvl w:val="0"/>
          <w:numId w:val="5"/>
        </w:numPr>
        <w:contextualSpacing w:val="0"/>
        <w:jc w:val="both"/>
        <w:rPr>
          <w:rFonts w:cstheme="minorHAnsi"/>
          <w:sz w:val="22"/>
          <w:szCs w:val="22"/>
          <w:lang w:val="fr-BE"/>
        </w:rPr>
      </w:pPr>
      <w:r w:rsidRPr="007E312F">
        <w:rPr>
          <w:rFonts w:cstheme="minorHAnsi"/>
          <w:sz w:val="22"/>
          <w:szCs w:val="22"/>
          <w:lang w:val="fr-BE"/>
        </w:rPr>
        <w:t xml:space="preserve">Nombre de couples de perdrix </w:t>
      </w:r>
      <w:r w:rsidR="007E312F">
        <w:rPr>
          <w:rFonts w:cstheme="minorHAnsi"/>
          <w:sz w:val="22"/>
          <w:szCs w:val="22"/>
          <w:lang w:val="fr-BE"/>
        </w:rPr>
        <w:t xml:space="preserve">observé </w:t>
      </w:r>
      <w:r w:rsidRPr="007E312F">
        <w:rPr>
          <w:rFonts w:cstheme="minorHAnsi"/>
          <w:sz w:val="22"/>
          <w:szCs w:val="22"/>
          <w:lang w:val="fr-BE"/>
        </w:rPr>
        <w:t>par km², par unité de gestion</w:t>
      </w:r>
    </w:p>
    <w:p w14:paraId="2D019A90" w14:textId="0D065EE3" w:rsidR="00D40104" w:rsidRPr="007E312F" w:rsidRDefault="00D40104" w:rsidP="007E312F">
      <w:pPr>
        <w:pStyle w:val="Paragraphedeliste"/>
        <w:numPr>
          <w:ilvl w:val="0"/>
          <w:numId w:val="5"/>
        </w:numPr>
        <w:contextualSpacing w:val="0"/>
        <w:jc w:val="both"/>
        <w:rPr>
          <w:rFonts w:cstheme="minorHAnsi"/>
          <w:sz w:val="22"/>
          <w:szCs w:val="22"/>
          <w:lang w:val="fr-BE"/>
        </w:rPr>
      </w:pPr>
      <w:r>
        <w:rPr>
          <w:rFonts w:cstheme="minorHAnsi"/>
          <w:sz w:val="22"/>
          <w:szCs w:val="22"/>
          <w:lang w:val="fr-BE"/>
        </w:rPr>
        <w:t>Facultatif : nombre absolu de perdrix dénombrées et nombre de points d’écoute ou surface échantillonnée</w:t>
      </w:r>
    </w:p>
    <w:p w14:paraId="261089A3" w14:textId="6781AFBC" w:rsidR="009A2E51" w:rsidRPr="007E312F" w:rsidRDefault="009A2E51" w:rsidP="007E312F">
      <w:pPr>
        <w:jc w:val="both"/>
        <w:rPr>
          <w:rFonts w:eastAsia="Calibri" w:cstheme="minorHAnsi"/>
          <w:color w:val="000000"/>
          <w:sz w:val="22"/>
          <w:szCs w:val="22"/>
          <w:lang w:val="fr-BE" w:eastAsia="fr-BE"/>
        </w:rPr>
      </w:pPr>
    </w:p>
    <w:p w14:paraId="79DF11E6" w14:textId="19BDA07F" w:rsidR="00E8511F" w:rsidRPr="007E312F" w:rsidRDefault="00E8511F" w:rsidP="007E312F">
      <w:pPr>
        <w:pStyle w:val="Titre4"/>
      </w:pPr>
      <w:r w:rsidRPr="007E312F">
        <w:t>Succès de la reproduction</w:t>
      </w:r>
      <w:r w:rsidR="00C90F60">
        <w:t xml:space="preserve"> (année n)</w:t>
      </w:r>
    </w:p>
    <w:p w14:paraId="28DB394F" w14:textId="124EE606" w:rsidR="00E8511F" w:rsidRPr="007E312F" w:rsidRDefault="00E8511F" w:rsidP="007E312F">
      <w:pPr>
        <w:pStyle w:val="Paragraphedeliste"/>
        <w:widowControl w:val="0"/>
        <w:numPr>
          <w:ilvl w:val="0"/>
          <w:numId w:val="5"/>
        </w:numPr>
        <w:autoSpaceDE w:val="0"/>
        <w:autoSpaceDN w:val="0"/>
        <w:adjustRightInd w:val="0"/>
        <w:contextualSpacing w:val="0"/>
        <w:jc w:val="both"/>
        <w:textAlignment w:val="center"/>
        <w:rPr>
          <w:rFonts w:cstheme="minorHAnsi"/>
          <w:color w:val="000000"/>
          <w:sz w:val="22"/>
          <w:szCs w:val="22"/>
        </w:rPr>
      </w:pPr>
      <w:r w:rsidRPr="007E312F">
        <w:rPr>
          <w:rFonts w:cstheme="minorHAnsi"/>
          <w:color w:val="000000"/>
          <w:sz w:val="22"/>
          <w:szCs w:val="22"/>
        </w:rPr>
        <w:t xml:space="preserve">Nombre </w:t>
      </w:r>
      <w:r w:rsidR="00DB63A8" w:rsidRPr="007E312F">
        <w:rPr>
          <w:rFonts w:cstheme="minorHAnsi"/>
          <w:sz w:val="22"/>
          <w:szCs w:val="22"/>
        </w:rPr>
        <w:t xml:space="preserve">de jeunes </w:t>
      </w:r>
      <w:r w:rsidR="005E776B" w:rsidRPr="007E312F">
        <w:rPr>
          <w:rFonts w:cstheme="minorHAnsi"/>
          <w:sz w:val="22"/>
          <w:szCs w:val="22"/>
        </w:rPr>
        <w:t xml:space="preserve">distincts </w:t>
      </w:r>
      <w:r w:rsidRPr="007E312F">
        <w:rPr>
          <w:rFonts w:cstheme="minorHAnsi"/>
          <w:sz w:val="22"/>
          <w:szCs w:val="22"/>
        </w:rPr>
        <w:t>observés</w:t>
      </w:r>
      <w:r w:rsidR="0007048C" w:rsidRPr="007E312F">
        <w:rPr>
          <w:rFonts w:cstheme="minorHAnsi"/>
          <w:sz w:val="22"/>
          <w:szCs w:val="22"/>
        </w:rPr>
        <w:t>, par unité de gestion</w:t>
      </w:r>
    </w:p>
    <w:p w14:paraId="7183E783" w14:textId="31FAEE8F" w:rsidR="00E8511F" w:rsidRPr="007E312F" w:rsidRDefault="00E8511F"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sidRPr="007E312F">
        <w:rPr>
          <w:rFonts w:cstheme="minorHAnsi"/>
          <w:sz w:val="22"/>
          <w:szCs w:val="22"/>
        </w:rPr>
        <w:t>Nombre d</w:t>
      </w:r>
      <w:r w:rsidR="00DB63A8" w:rsidRPr="007E312F">
        <w:rPr>
          <w:rFonts w:cstheme="minorHAnsi"/>
          <w:sz w:val="22"/>
          <w:szCs w:val="22"/>
        </w:rPr>
        <w:t>’adultes</w:t>
      </w:r>
      <w:r w:rsidRPr="007E312F">
        <w:rPr>
          <w:rFonts w:cstheme="minorHAnsi"/>
          <w:sz w:val="22"/>
          <w:szCs w:val="22"/>
        </w:rPr>
        <w:t xml:space="preserve"> </w:t>
      </w:r>
      <w:r w:rsidR="005E776B" w:rsidRPr="007E312F">
        <w:rPr>
          <w:rFonts w:cstheme="minorHAnsi"/>
          <w:sz w:val="22"/>
          <w:szCs w:val="22"/>
        </w:rPr>
        <w:t xml:space="preserve">distincts </w:t>
      </w:r>
      <w:r w:rsidRPr="007E312F">
        <w:rPr>
          <w:rFonts w:cstheme="minorHAnsi"/>
          <w:sz w:val="22"/>
          <w:szCs w:val="22"/>
        </w:rPr>
        <w:t>observés</w:t>
      </w:r>
      <w:r w:rsidR="0007048C" w:rsidRPr="007E312F">
        <w:rPr>
          <w:rFonts w:cstheme="minorHAnsi"/>
          <w:sz w:val="22"/>
          <w:szCs w:val="22"/>
        </w:rPr>
        <w:t>, par unité de gestion</w:t>
      </w:r>
    </w:p>
    <w:p w14:paraId="6AE63903" w14:textId="6110EC24" w:rsidR="005E776B" w:rsidRDefault="005E776B"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sidRPr="007E312F">
        <w:rPr>
          <w:rFonts w:cstheme="minorHAnsi"/>
          <w:sz w:val="22"/>
          <w:szCs w:val="22"/>
        </w:rPr>
        <w:t xml:space="preserve">Nombre </w:t>
      </w:r>
      <w:r w:rsidR="0007048C" w:rsidRPr="007E312F">
        <w:rPr>
          <w:rFonts w:cstheme="minorHAnsi"/>
          <w:sz w:val="22"/>
          <w:szCs w:val="22"/>
        </w:rPr>
        <w:t>d</w:t>
      </w:r>
      <w:r w:rsidRPr="007E312F">
        <w:rPr>
          <w:rFonts w:cstheme="minorHAnsi"/>
          <w:sz w:val="22"/>
          <w:szCs w:val="22"/>
        </w:rPr>
        <w:t xml:space="preserve">e perdrix </w:t>
      </w:r>
      <w:r w:rsidR="0007048C" w:rsidRPr="007E312F">
        <w:rPr>
          <w:rFonts w:cstheme="minorHAnsi"/>
          <w:sz w:val="22"/>
          <w:szCs w:val="22"/>
        </w:rPr>
        <w:t xml:space="preserve">d’âge indéterminé </w:t>
      </w:r>
      <w:r w:rsidRPr="007E312F">
        <w:rPr>
          <w:rFonts w:cstheme="minorHAnsi"/>
          <w:sz w:val="22"/>
          <w:szCs w:val="22"/>
        </w:rPr>
        <w:t>distinctes observées</w:t>
      </w:r>
      <w:r w:rsidR="0007048C" w:rsidRPr="007E312F">
        <w:rPr>
          <w:rFonts w:cstheme="minorHAnsi"/>
          <w:sz w:val="22"/>
          <w:szCs w:val="22"/>
        </w:rPr>
        <w:t>, par unité de gestion</w:t>
      </w:r>
    </w:p>
    <w:p w14:paraId="613FFCDD" w14:textId="4845B1F1" w:rsidR="00AC70E5" w:rsidRPr="007E312F" w:rsidRDefault="00AC70E5"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Pr>
          <w:rFonts w:cstheme="minorHAnsi"/>
          <w:sz w:val="22"/>
          <w:szCs w:val="22"/>
        </w:rPr>
        <w:t xml:space="preserve">En complément (facultatif) : </w:t>
      </w:r>
      <w:r w:rsidRPr="00A71549">
        <w:rPr>
          <w:rFonts w:cstheme="minorHAnsi"/>
          <w:sz w:val="22"/>
          <w:szCs w:val="22"/>
        </w:rPr>
        <w:t xml:space="preserve">nombre de perdrix observées </w:t>
      </w:r>
      <w:r w:rsidR="00A71549" w:rsidRPr="00A71549">
        <w:rPr>
          <w:rFonts w:cstheme="minorHAnsi"/>
          <w:sz w:val="22"/>
          <w:szCs w:val="22"/>
        </w:rPr>
        <w:t xml:space="preserve">/ 100 ha </w:t>
      </w:r>
      <w:r w:rsidRPr="00A71549">
        <w:rPr>
          <w:rFonts w:cstheme="minorHAnsi"/>
          <w:sz w:val="22"/>
          <w:szCs w:val="22"/>
        </w:rPr>
        <w:t>lors de</w:t>
      </w:r>
      <w:r w:rsidR="00A71549" w:rsidRPr="00A71549">
        <w:rPr>
          <w:rFonts w:cstheme="minorHAnsi"/>
          <w:sz w:val="22"/>
          <w:szCs w:val="22"/>
        </w:rPr>
        <w:t xml:space="preserve"> la </w:t>
      </w:r>
      <w:r w:rsidRPr="00A71549">
        <w:rPr>
          <w:rFonts w:cstheme="minorHAnsi"/>
          <w:sz w:val="22"/>
          <w:szCs w:val="22"/>
        </w:rPr>
        <w:t>première chasse</w:t>
      </w:r>
    </w:p>
    <w:p w14:paraId="7CE53FF7" w14:textId="744F29DB" w:rsidR="0007048C" w:rsidRPr="007E312F" w:rsidRDefault="0007048C" w:rsidP="007E312F">
      <w:pPr>
        <w:widowControl w:val="0"/>
        <w:autoSpaceDE w:val="0"/>
        <w:autoSpaceDN w:val="0"/>
        <w:adjustRightInd w:val="0"/>
        <w:jc w:val="both"/>
        <w:textAlignment w:val="center"/>
        <w:rPr>
          <w:rFonts w:cstheme="minorHAnsi"/>
          <w:sz w:val="22"/>
          <w:szCs w:val="22"/>
        </w:rPr>
      </w:pPr>
    </w:p>
    <w:p w14:paraId="1C05A348" w14:textId="395A16E6" w:rsidR="0007048C" w:rsidRPr="007E312F" w:rsidRDefault="0007048C" w:rsidP="007E312F">
      <w:pPr>
        <w:pStyle w:val="Titre4"/>
      </w:pPr>
      <w:r w:rsidRPr="007E312F">
        <w:t>Repeuplements</w:t>
      </w:r>
      <w:r w:rsidR="00A71549">
        <w:t xml:space="preserve"> (année n)</w:t>
      </w:r>
    </w:p>
    <w:p w14:paraId="4B871C9F" w14:textId="2001229D" w:rsidR="0007048C" w:rsidRPr="00C17775" w:rsidRDefault="0007048C"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sidRPr="007E312F">
        <w:rPr>
          <w:rFonts w:eastAsia="Calibri" w:cstheme="minorHAnsi"/>
          <w:color w:val="000000"/>
          <w:sz w:val="22"/>
          <w:szCs w:val="22"/>
          <w:lang w:eastAsia="fr-BE"/>
        </w:rPr>
        <w:t>N</w:t>
      </w:r>
      <w:r w:rsidRPr="007E312F">
        <w:rPr>
          <w:rFonts w:eastAsia="Calibri" w:cstheme="minorHAnsi"/>
          <w:color w:val="000000"/>
          <w:sz w:val="22"/>
          <w:szCs w:val="22"/>
          <w:lang w:val="fr-BE" w:eastAsia="fr-BE"/>
        </w:rPr>
        <w:t xml:space="preserve">ombre de perdrix lâchées, par </w:t>
      </w:r>
      <w:r w:rsidRPr="004B278D">
        <w:rPr>
          <w:rFonts w:eastAsia="Calibri" w:cstheme="minorHAnsi"/>
          <w:i/>
          <w:iCs/>
          <w:color w:val="000000"/>
          <w:sz w:val="22"/>
          <w:szCs w:val="22"/>
          <w:lang w:val="fr-BE" w:eastAsia="fr-BE"/>
        </w:rPr>
        <w:t>territoire</w:t>
      </w:r>
    </w:p>
    <w:p w14:paraId="6699940F" w14:textId="635B2461" w:rsidR="00C17775" w:rsidRPr="00C17775" w:rsidRDefault="00C17775"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sidRPr="00C17775">
        <w:rPr>
          <w:rFonts w:eastAsia="Calibri" w:cstheme="minorHAnsi"/>
          <w:color w:val="000000"/>
          <w:sz w:val="22"/>
          <w:szCs w:val="22"/>
          <w:lang w:val="fr-BE" w:eastAsia="fr-BE"/>
        </w:rPr>
        <w:t>Superficie des territoires</w:t>
      </w:r>
      <w:r>
        <w:rPr>
          <w:rFonts w:eastAsia="Calibri" w:cstheme="minorHAnsi"/>
          <w:color w:val="000000"/>
          <w:sz w:val="22"/>
          <w:szCs w:val="22"/>
          <w:lang w:val="fr-BE" w:eastAsia="fr-BE"/>
        </w:rPr>
        <w:t xml:space="preserve"> concernés</w:t>
      </w:r>
    </w:p>
    <w:p w14:paraId="00CAD941" w14:textId="1BF6DEE5" w:rsidR="0007048C" w:rsidRPr="007E312F" w:rsidRDefault="0007048C"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sidRPr="007E312F">
        <w:rPr>
          <w:rFonts w:eastAsia="Calibri" w:cstheme="minorHAnsi"/>
          <w:color w:val="000000"/>
          <w:sz w:val="22"/>
          <w:szCs w:val="22"/>
          <w:lang w:val="fr-BE" w:eastAsia="fr-BE"/>
        </w:rPr>
        <w:t>Epoque</w:t>
      </w:r>
      <w:r w:rsidR="00B718A1">
        <w:rPr>
          <w:rFonts w:eastAsia="Calibri" w:cstheme="minorHAnsi"/>
          <w:color w:val="000000"/>
          <w:sz w:val="22"/>
          <w:szCs w:val="22"/>
          <w:lang w:val="fr-BE" w:eastAsia="fr-BE"/>
        </w:rPr>
        <w:t xml:space="preserve"> </w:t>
      </w:r>
      <w:r w:rsidR="00B718A1" w:rsidRPr="00A71549">
        <w:rPr>
          <w:rFonts w:eastAsia="Calibri" w:cstheme="minorHAnsi"/>
          <w:color w:val="000000"/>
          <w:sz w:val="22"/>
          <w:szCs w:val="22"/>
          <w:lang w:val="fr-BE" w:eastAsia="fr-BE"/>
        </w:rPr>
        <w:t>(mois)</w:t>
      </w:r>
      <w:r w:rsidRPr="007E312F">
        <w:rPr>
          <w:rFonts w:eastAsia="Calibri" w:cstheme="minorHAnsi"/>
          <w:color w:val="000000"/>
          <w:sz w:val="22"/>
          <w:szCs w:val="22"/>
          <w:lang w:val="fr-BE" w:eastAsia="fr-BE"/>
        </w:rPr>
        <w:t xml:space="preserve"> à laquelle les lâchers ont eu lieu, par </w:t>
      </w:r>
      <w:r w:rsidRPr="004B278D">
        <w:rPr>
          <w:rFonts w:eastAsia="Calibri" w:cstheme="minorHAnsi"/>
          <w:i/>
          <w:iCs/>
          <w:color w:val="000000"/>
          <w:sz w:val="22"/>
          <w:szCs w:val="22"/>
          <w:lang w:val="fr-BE" w:eastAsia="fr-BE"/>
        </w:rPr>
        <w:t>territoire</w:t>
      </w:r>
    </w:p>
    <w:p w14:paraId="66BA93F2" w14:textId="5213FF3F" w:rsidR="0007048C" w:rsidRPr="007E312F" w:rsidRDefault="005160C8"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Pr>
          <w:rFonts w:eastAsia="Calibri" w:cstheme="minorHAnsi"/>
          <w:color w:val="000000"/>
          <w:sz w:val="22"/>
          <w:szCs w:val="22"/>
          <w:lang w:val="fr-BE" w:eastAsia="fr-BE"/>
        </w:rPr>
        <w:t>En complément (facultatif) : é</w:t>
      </w:r>
      <w:r w:rsidR="0007048C" w:rsidRPr="007E312F">
        <w:rPr>
          <w:rFonts w:eastAsia="Calibri" w:cstheme="minorHAnsi"/>
          <w:color w:val="000000"/>
          <w:sz w:val="22"/>
          <w:szCs w:val="22"/>
          <w:lang w:val="fr-BE" w:eastAsia="fr-BE"/>
        </w:rPr>
        <w:t>levage d’origine perdrix relâchées</w:t>
      </w:r>
    </w:p>
    <w:p w14:paraId="0E90BC61" w14:textId="77777777" w:rsidR="0007048C" w:rsidRPr="007E312F" w:rsidRDefault="0007048C" w:rsidP="007E312F">
      <w:pPr>
        <w:widowControl w:val="0"/>
        <w:autoSpaceDE w:val="0"/>
        <w:autoSpaceDN w:val="0"/>
        <w:adjustRightInd w:val="0"/>
        <w:jc w:val="both"/>
        <w:textAlignment w:val="center"/>
        <w:rPr>
          <w:rFonts w:cstheme="minorHAnsi"/>
          <w:sz w:val="22"/>
          <w:szCs w:val="22"/>
        </w:rPr>
      </w:pPr>
    </w:p>
    <w:p w14:paraId="7A21BA77" w14:textId="74BEC5A4" w:rsidR="00DB63A8" w:rsidRPr="007E312F" w:rsidRDefault="00DB63A8" w:rsidP="007E312F">
      <w:pPr>
        <w:pStyle w:val="Titre4"/>
        <w:rPr>
          <w:rFonts w:eastAsia="Calibri"/>
          <w:lang w:val="fr-BE" w:eastAsia="fr-BE"/>
        </w:rPr>
      </w:pPr>
      <w:r w:rsidRPr="007E312F">
        <w:t>Prélèvements</w:t>
      </w:r>
      <w:r w:rsidR="00A71549">
        <w:t xml:space="preserve"> (année n)</w:t>
      </w:r>
    </w:p>
    <w:p w14:paraId="6DC8BCBF" w14:textId="581E0B27" w:rsidR="00B650C3" w:rsidRPr="007E312F" w:rsidRDefault="00B650C3" w:rsidP="007E312F">
      <w:pPr>
        <w:pStyle w:val="Paragraphedeliste"/>
        <w:numPr>
          <w:ilvl w:val="0"/>
          <w:numId w:val="5"/>
        </w:numPr>
        <w:contextualSpacing w:val="0"/>
        <w:jc w:val="both"/>
        <w:rPr>
          <w:rFonts w:eastAsia="Calibri" w:cstheme="minorHAnsi"/>
          <w:color w:val="000000"/>
          <w:sz w:val="22"/>
          <w:szCs w:val="22"/>
          <w:lang w:val="fr-BE" w:eastAsia="fr-BE"/>
        </w:rPr>
      </w:pPr>
      <w:r w:rsidRPr="007E312F">
        <w:rPr>
          <w:rFonts w:eastAsia="Calibri" w:cstheme="minorHAnsi"/>
          <w:color w:val="000000"/>
          <w:sz w:val="22"/>
          <w:szCs w:val="22"/>
          <w:lang w:val="fr-BE" w:eastAsia="fr-BE"/>
        </w:rPr>
        <w:t xml:space="preserve">Nombre de perdrix grises </w:t>
      </w:r>
      <w:r w:rsidRPr="004B278D">
        <w:rPr>
          <w:rFonts w:eastAsia="Calibri" w:cstheme="minorHAnsi"/>
          <w:i/>
          <w:iCs/>
          <w:color w:val="000000"/>
          <w:sz w:val="22"/>
          <w:szCs w:val="22"/>
          <w:lang w:val="fr-BE" w:eastAsia="fr-BE"/>
        </w:rPr>
        <w:t>non-baguées</w:t>
      </w:r>
      <w:r w:rsidRPr="007E312F">
        <w:rPr>
          <w:rFonts w:eastAsia="Calibri" w:cstheme="minorHAnsi"/>
          <w:color w:val="000000"/>
          <w:sz w:val="22"/>
          <w:szCs w:val="22"/>
          <w:lang w:val="fr-BE" w:eastAsia="fr-BE"/>
        </w:rPr>
        <w:t xml:space="preserve"> prélevées à la chasse</w:t>
      </w:r>
      <w:r w:rsidR="004B278D">
        <w:rPr>
          <w:rFonts w:eastAsia="Calibri" w:cstheme="minorHAnsi"/>
          <w:color w:val="000000"/>
          <w:sz w:val="22"/>
          <w:szCs w:val="22"/>
          <w:lang w:val="fr-BE" w:eastAsia="fr-BE"/>
        </w:rPr>
        <w:t>, par unité de gestion</w:t>
      </w:r>
    </w:p>
    <w:p w14:paraId="7C8DAE51" w14:textId="52CD588B" w:rsidR="00B650C3" w:rsidRPr="007E312F" w:rsidRDefault="00B650C3" w:rsidP="007E312F">
      <w:pPr>
        <w:pStyle w:val="Paragraphedeliste"/>
        <w:numPr>
          <w:ilvl w:val="0"/>
          <w:numId w:val="5"/>
        </w:numPr>
        <w:contextualSpacing w:val="0"/>
        <w:jc w:val="both"/>
        <w:rPr>
          <w:rFonts w:eastAsia="Calibri" w:cstheme="minorHAnsi"/>
          <w:color w:val="000000"/>
          <w:sz w:val="22"/>
          <w:szCs w:val="22"/>
          <w:lang w:val="fr-BE" w:eastAsia="fr-BE"/>
        </w:rPr>
      </w:pPr>
      <w:r w:rsidRPr="007E312F">
        <w:rPr>
          <w:rFonts w:eastAsia="Calibri" w:cstheme="minorHAnsi"/>
          <w:color w:val="000000"/>
          <w:sz w:val="22"/>
          <w:szCs w:val="22"/>
          <w:lang w:val="fr-BE" w:eastAsia="fr-BE"/>
        </w:rPr>
        <w:t xml:space="preserve">Nombre de perdrix grises </w:t>
      </w:r>
      <w:r w:rsidRPr="004B278D">
        <w:rPr>
          <w:rFonts w:eastAsia="Calibri" w:cstheme="minorHAnsi"/>
          <w:i/>
          <w:iCs/>
          <w:color w:val="000000"/>
          <w:sz w:val="22"/>
          <w:szCs w:val="22"/>
          <w:lang w:val="fr-BE" w:eastAsia="fr-BE"/>
        </w:rPr>
        <w:t>baguées</w:t>
      </w:r>
      <w:r w:rsidRPr="007E312F">
        <w:rPr>
          <w:rFonts w:eastAsia="Calibri" w:cstheme="minorHAnsi"/>
          <w:color w:val="000000"/>
          <w:sz w:val="22"/>
          <w:szCs w:val="22"/>
          <w:lang w:val="fr-BE" w:eastAsia="fr-BE"/>
        </w:rPr>
        <w:t xml:space="preserve"> prélevées à la chasse</w:t>
      </w:r>
      <w:r w:rsidR="004B278D">
        <w:rPr>
          <w:rFonts w:eastAsia="Calibri" w:cstheme="minorHAnsi"/>
          <w:color w:val="000000"/>
          <w:sz w:val="22"/>
          <w:szCs w:val="22"/>
          <w:lang w:val="fr-BE" w:eastAsia="fr-BE"/>
        </w:rPr>
        <w:t>, par unité de gestion</w:t>
      </w:r>
    </w:p>
    <w:p w14:paraId="16B68902" w14:textId="0C1353E5" w:rsidR="005F34AE" w:rsidRDefault="00AC70E5" w:rsidP="00AC70E5">
      <w:pPr>
        <w:pStyle w:val="Paragraphedeliste"/>
        <w:numPr>
          <w:ilvl w:val="0"/>
          <w:numId w:val="5"/>
        </w:numPr>
        <w:jc w:val="both"/>
        <w:rPr>
          <w:rFonts w:eastAsiaTheme="minorHAnsi" w:cstheme="minorHAnsi"/>
          <w:sz w:val="22"/>
          <w:szCs w:val="22"/>
          <w:lang w:val="fr-BE" w:eastAsia="en-US"/>
        </w:rPr>
      </w:pPr>
      <w:r>
        <w:rPr>
          <w:rFonts w:eastAsiaTheme="minorHAnsi" w:cstheme="minorHAnsi"/>
          <w:sz w:val="22"/>
          <w:szCs w:val="22"/>
          <w:lang w:val="fr-BE" w:eastAsia="en-US"/>
        </w:rPr>
        <w:t>En complément</w:t>
      </w:r>
      <w:r>
        <w:rPr>
          <w:rFonts w:cstheme="minorHAnsi"/>
          <w:sz w:val="22"/>
          <w:szCs w:val="22"/>
        </w:rPr>
        <w:t> (facultatif)</w:t>
      </w:r>
      <w:r>
        <w:rPr>
          <w:rFonts w:eastAsiaTheme="minorHAnsi" w:cstheme="minorHAnsi"/>
          <w:sz w:val="22"/>
          <w:szCs w:val="22"/>
          <w:lang w:val="fr-BE" w:eastAsia="en-US"/>
        </w:rPr>
        <w:t> : décision de l’UG d</w:t>
      </w:r>
      <w:r w:rsidR="009E5A00">
        <w:rPr>
          <w:rFonts w:eastAsiaTheme="minorHAnsi" w:cstheme="minorHAnsi"/>
          <w:sz w:val="22"/>
          <w:szCs w:val="22"/>
          <w:lang w:val="fr-BE" w:eastAsia="en-US"/>
        </w:rPr>
        <w:t xml:space="preserve">e </w:t>
      </w:r>
      <w:r w:rsidR="00FA3492">
        <w:rPr>
          <w:rFonts w:eastAsiaTheme="minorHAnsi" w:cstheme="minorHAnsi"/>
          <w:sz w:val="22"/>
          <w:szCs w:val="22"/>
          <w:lang w:val="fr-BE" w:eastAsia="en-US"/>
        </w:rPr>
        <w:t xml:space="preserve">limiter la période d’ouverture (dates) </w:t>
      </w:r>
      <w:r w:rsidR="009E5A00">
        <w:rPr>
          <w:rFonts w:eastAsiaTheme="minorHAnsi" w:cstheme="minorHAnsi"/>
          <w:sz w:val="22"/>
          <w:szCs w:val="22"/>
          <w:lang w:val="fr-BE" w:eastAsia="en-US"/>
        </w:rPr>
        <w:t xml:space="preserve">/ de ne pas ouvrir </w:t>
      </w:r>
      <w:r>
        <w:rPr>
          <w:rFonts w:eastAsiaTheme="minorHAnsi" w:cstheme="minorHAnsi"/>
          <w:sz w:val="22"/>
          <w:szCs w:val="22"/>
          <w:lang w:val="fr-BE" w:eastAsia="en-US"/>
        </w:rPr>
        <w:t xml:space="preserve">la chasse de la perdrix cette </w:t>
      </w:r>
      <w:r w:rsidR="00B718A1">
        <w:rPr>
          <w:rFonts w:eastAsiaTheme="minorHAnsi" w:cstheme="minorHAnsi"/>
          <w:sz w:val="22"/>
          <w:szCs w:val="22"/>
          <w:lang w:val="fr-BE" w:eastAsia="en-US"/>
        </w:rPr>
        <w:t>saison cynégétique</w:t>
      </w:r>
    </w:p>
    <w:p w14:paraId="52D044E9" w14:textId="5AA1551B" w:rsidR="00AC70E5" w:rsidRPr="00AC70E5" w:rsidRDefault="00AC70E5" w:rsidP="00AC70E5">
      <w:pPr>
        <w:jc w:val="both"/>
        <w:rPr>
          <w:rFonts w:eastAsiaTheme="minorHAnsi" w:cstheme="minorHAnsi"/>
          <w:sz w:val="22"/>
          <w:szCs w:val="22"/>
          <w:lang w:val="fr-BE" w:eastAsia="en-US"/>
        </w:rPr>
      </w:pPr>
    </w:p>
    <w:p w14:paraId="09724EE8" w14:textId="2203CCC7" w:rsidR="00DB63A8" w:rsidRPr="00701D09" w:rsidRDefault="00DB63A8" w:rsidP="004B278D">
      <w:pPr>
        <w:pStyle w:val="Titre4"/>
        <w:rPr>
          <w:rFonts w:eastAsiaTheme="minorHAnsi"/>
          <w:lang w:val="fr-BE" w:eastAsia="en-US"/>
        </w:rPr>
      </w:pPr>
      <w:r w:rsidRPr="00701D09">
        <w:t>Habitats</w:t>
      </w:r>
    </w:p>
    <w:p w14:paraId="6263CC15" w14:textId="1CD79F53" w:rsidR="00A71549" w:rsidRPr="00A71549" w:rsidRDefault="004B278D" w:rsidP="00A71549">
      <w:pPr>
        <w:pStyle w:val="Paragraphedeliste"/>
        <w:numPr>
          <w:ilvl w:val="0"/>
          <w:numId w:val="5"/>
        </w:numPr>
        <w:jc w:val="both"/>
        <w:rPr>
          <w:rFonts w:eastAsiaTheme="minorHAnsi" w:cstheme="minorHAnsi"/>
          <w:sz w:val="22"/>
          <w:szCs w:val="22"/>
          <w:lang w:val="fr-BE" w:eastAsia="en-US"/>
        </w:rPr>
      </w:pPr>
      <w:r w:rsidRPr="00A71549">
        <w:rPr>
          <w:rFonts w:eastAsiaTheme="minorHAnsi" w:cstheme="minorHAnsi"/>
          <w:sz w:val="22"/>
          <w:szCs w:val="22"/>
          <w:lang w:val="fr-BE" w:eastAsia="en-US"/>
        </w:rPr>
        <w:t>Le rapport annuel doit renseigner les améliorations de l’habitat en faveur de la perdrix grise</w:t>
      </w:r>
      <w:r w:rsidR="006F0D38" w:rsidRPr="00A71549">
        <w:rPr>
          <w:rFonts w:eastAsiaTheme="minorHAnsi" w:cstheme="minorHAnsi"/>
          <w:sz w:val="22"/>
          <w:szCs w:val="22"/>
          <w:lang w:val="fr-BE" w:eastAsia="en-US"/>
        </w:rPr>
        <w:t>, au niveau de chaque unité de gestion</w:t>
      </w:r>
      <w:r w:rsidRPr="00A71549">
        <w:rPr>
          <w:rFonts w:eastAsiaTheme="minorHAnsi" w:cstheme="minorHAnsi"/>
          <w:sz w:val="22"/>
          <w:szCs w:val="22"/>
          <w:lang w:val="fr-BE" w:eastAsia="en-US"/>
        </w:rPr>
        <w:t>.</w:t>
      </w:r>
      <w:r w:rsidR="00A71549" w:rsidRPr="00A71549">
        <w:rPr>
          <w:rFonts w:eastAsiaTheme="minorHAnsi" w:cstheme="minorHAnsi"/>
          <w:sz w:val="22"/>
          <w:szCs w:val="22"/>
          <w:lang w:val="fr-BE" w:eastAsia="en-US"/>
        </w:rPr>
        <w:t xml:space="preserve"> Pour information, les éléments favorables sont les suivants : </w:t>
      </w:r>
    </w:p>
    <w:p w14:paraId="29993399" w14:textId="7A1985F9" w:rsidR="00A71549" w:rsidRPr="00A71549" w:rsidRDefault="00A71549" w:rsidP="00A71549">
      <w:pPr>
        <w:pStyle w:val="Paragraphedeliste"/>
        <w:numPr>
          <w:ilvl w:val="1"/>
          <w:numId w:val="5"/>
        </w:numPr>
        <w:jc w:val="both"/>
        <w:rPr>
          <w:rFonts w:eastAsiaTheme="minorHAnsi" w:cstheme="minorHAnsi"/>
          <w:sz w:val="22"/>
          <w:szCs w:val="22"/>
          <w:lang w:val="fr-BE" w:eastAsia="en-US"/>
        </w:rPr>
      </w:pPr>
      <w:r w:rsidRPr="00A71549">
        <w:rPr>
          <w:rFonts w:eastAsiaTheme="minorHAnsi" w:cstheme="minorHAnsi"/>
          <w:sz w:val="22"/>
          <w:szCs w:val="22"/>
          <w:lang w:val="fr-BE" w:eastAsia="en-US"/>
        </w:rPr>
        <w:t>plaines où dominent les grandes cultures ;</w:t>
      </w:r>
    </w:p>
    <w:p w14:paraId="755D329F" w14:textId="77777777" w:rsidR="00A71549" w:rsidRPr="00A71549" w:rsidRDefault="00A71549" w:rsidP="00A71549">
      <w:pPr>
        <w:pStyle w:val="Paragraphedeliste"/>
        <w:numPr>
          <w:ilvl w:val="1"/>
          <w:numId w:val="5"/>
        </w:numPr>
        <w:jc w:val="both"/>
        <w:rPr>
          <w:rFonts w:eastAsiaTheme="minorHAnsi" w:cstheme="minorHAnsi"/>
          <w:sz w:val="22"/>
          <w:szCs w:val="22"/>
          <w:lang w:val="fr-BE" w:eastAsia="en-US"/>
        </w:rPr>
      </w:pPr>
      <w:r w:rsidRPr="00A71549">
        <w:rPr>
          <w:rFonts w:eastAsiaTheme="minorHAnsi" w:cstheme="minorHAnsi"/>
          <w:sz w:val="22"/>
          <w:szCs w:val="22"/>
          <w:lang w:val="fr-BE" w:eastAsia="en-US"/>
        </w:rPr>
        <w:t>céréales à paille en proportion élevée (20 à 70 %) ;</w:t>
      </w:r>
    </w:p>
    <w:p w14:paraId="136BE6E4" w14:textId="518A98AA" w:rsidR="00A71549" w:rsidRPr="00A71549" w:rsidRDefault="00A71549" w:rsidP="00A71549">
      <w:pPr>
        <w:pStyle w:val="Paragraphedeliste"/>
        <w:numPr>
          <w:ilvl w:val="1"/>
          <w:numId w:val="5"/>
        </w:numPr>
        <w:jc w:val="both"/>
        <w:rPr>
          <w:rFonts w:eastAsiaTheme="minorHAnsi" w:cstheme="minorHAnsi"/>
          <w:sz w:val="22"/>
          <w:szCs w:val="22"/>
          <w:lang w:val="fr-BE" w:eastAsia="en-US"/>
        </w:rPr>
      </w:pPr>
      <w:r w:rsidRPr="00A71549">
        <w:rPr>
          <w:rFonts w:eastAsiaTheme="minorHAnsi" w:cstheme="minorHAnsi"/>
          <w:sz w:val="22"/>
          <w:szCs w:val="22"/>
          <w:lang w:val="fr-BE" w:eastAsia="en-US"/>
        </w:rPr>
        <w:lastRenderedPageBreak/>
        <w:t>repères fixes et abris</w:t>
      </w:r>
      <w:r w:rsidR="00B83533">
        <w:rPr>
          <w:rFonts w:eastAsiaTheme="minorHAnsi" w:cstheme="minorHAnsi"/>
          <w:sz w:val="22"/>
          <w:szCs w:val="22"/>
          <w:lang w:val="fr-BE" w:eastAsia="en-US"/>
        </w:rPr>
        <w:t> </w:t>
      </w:r>
      <w:r w:rsidRPr="00A71549">
        <w:rPr>
          <w:rFonts w:eastAsiaTheme="minorHAnsi" w:cstheme="minorHAnsi"/>
          <w:sz w:val="22"/>
          <w:szCs w:val="22"/>
          <w:lang w:val="fr-BE" w:eastAsia="en-US"/>
        </w:rPr>
        <w:t>(chemins creux, talus, fossés, hautes herbes, léger relief, haies basses, buissons, prairies permanentes, jachères fixes, cours d’eau, etc.) ;</w:t>
      </w:r>
    </w:p>
    <w:p w14:paraId="2D856650" w14:textId="00A97564" w:rsidR="00A71549" w:rsidRPr="00A71549" w:rsidRDefault="00A71549" w:rsidP="00A71549">
      <w:pPr>
        <w:pStyle w:val="Paragraphedeliste"/>
        <w:numPr>
          <w:ilvl w:val="1"/>
          <w:numId w:val="5"/>
        </w:numPr>
        <w:jc w:val="both"/>
        <w:rPr>
          <w:rFonts w:eastAsiaTheme="minorHAnsi" w:cstheme="minorHAnsi"/>
          <w:sz w:val="22"/>
          <w:szCs w:val="22"/>
          <w:lang w:val="fr-BE" w:eastAsia="en-US"/>
        </w:rPr>
      </w:pPr>
      <w:r w:rsidRPr="00A71549">
        <w:rPr>
          <w:rFonts w:eastAsiaTheme="minorHAnsi" w:cstheme="minorHAnsi"/>
          <w:sz w:val="22"/>
          <w:szCs w:val="22"/>
          <w:lang w:val="fr-BE" w:eastAsia="en-US"/>
        </w:rPr>
        <w:t>couverts présents tout au long de l’année (ce qui impose une diversité importante de cultures et d’intercultures)</w:t>
      </w:r>
      <w:r w:rsidR="00B83533">
        <w:rPr>
          <w:rFonts w:eastAsiaTheme="minorHAnsi" w:cstheme="minorHAnsi"/>
          <w:sz w:val="22"/>
          <w:szCs w:val="22"/>
          <w:lang w:val="fr-BE" w:eastAsia="en-US"/>
        </w:rPr>
        <w:t> ;</w:t>
      </w:r>
    </w:p>
    <w:p w14:paraId="36C2E276" w14:textId="00092977" w:rsidR="00A71549" w:rsidRPr="00A71549" w:rsidRDefault="00A71549" w:rsidP="00A71549">
      <w:pPr>
        <w:pStyle w:val="Paragraphedeliste"/>
        <w:numPr>
          <w:ilvl w:val="1"/>
          <w:numId w:val="5"/>
        </w:numPr>
        <w:jc w:val="both"/>
        <w:rPr>
          <w:rFonts w:eastAsiaTheme="minorHAnsi" w:cstheme="minorHAnsi"/>
          <w:sz w:val="22"/>
          <w:szCs w:val="22"/>
          <w:lang w:val="fr-BE" w:eastAsia="en-US"/>
        </w:rPr>
      </w:pPr>
      <w:r w:rsidRPr="00A71549">
        <w:rPr>
          <w:rFonts w:eastAsiaTheme="minorHAnsi" w:cstheme="minorHAnsi"/>
          <w:sz w:val="22"/>
          <w:szCs w:val="22"/>
          <w:lang w:val="fr-BE" w:eastAsia="en-US"/>
        </w:rPr>
        <w:t>présence de couverts riches en insectes de mi-juin à début août : prairies et jachères enherbées, couverts faunistiques (p.ex. MAEC), parcelles en culture bio, parcelles à faibles apports d’intrants ou en travail cultural simplifié, chemins, fossés, talus enherbés, haies basses, bords de cours d’eau, bandes périphériques non-traitées à l’intérieur des parcelles ;</w:t>
      </w:r>
    </w:p>
    <w:p w14:paraId="195B9A48" w14:textId="3DC348B1" w:rsidR="00A71549" w:rsidRPr="00A71549" w:rsidRDefault="00A71549" w:rsidP="00A71549">
      <w:pPr>
        <w:pStyle w:val="Paragraphedeliste"/>
        <w:numPr>
          <w:ilvl w:val="1"/>
          <w:numId w:val="5"/>
        </w:numPr>
        <w:jc w:val="both"/>
        <w:rPr>
          <w:rFonts w:eastAsiaTheme="minorHAnsi" w:cstheme="minorHAnsi"/>
          <w:sz w:val="22"/>
          <w:szCs w:val="22"/>
          <w:lang w:val="fr-BE" w:eastAsia="en-US"/>
        </w:rPr>
      </w:pPr>
      <w:r w:rsidRPr="00A71549">
        <w:rPr>
          <w:rFonts w:eastAsiaTheme="minorHAnsi" w:cstheme="minorHAnsi"/>
          <w:sz w:val="22"/>
          <w:szCs w:val="22"/>
          <w:lang w:val="fr-BE" w:eastAsia="en-US"/>
        </w:rPr>
        <w:t>espaces de quiétude</w:t>
      </w:r>
      <w:r w:rsidR="00B83533">
        <w:rPr>
          <w:rFonts w:eastAsiaTheme="minorHAnsi" w:cstheme="minorHAnsi"/>
          <w:sz w:val="22"/>
          <w:szCs w:val="22"/>
          <w:lang w:val="fr-BE" w:eastAsia="en-US"/>
        </w:rPr>
        <w:t>.</w:t>
      </w:r>
    </w:p>
    <w:p w14:paraId="3D115399" w14:textId="3255C514" w:rsidR="00280E44" w:rsidRPr="00701D09" w:rsidRDefault="00701D09" w:rsidP="00701D09">
      <w:pPr>
        <w:pStyle w:val="Paragraphedeliste"/>
        <w:numPr>
          <w:ilvl w:val="0"/>
          <w:numId w:val="5"/>
        </w:numPr>
        <w:jc w:val="both"/>
        <w:rPr>
          <w:rFonts w:cstheme="minorHAnsi"/>
          <w:sz w:val="22"/>
          <w:szCs w:val="22"/>
        </w:rPr>
      </w:pPr>
      <w:r>
        <w:rPr>
          <w:rFonts w:cstheme="minorHAnsi"/>
          <w:sz w:val="22"/>
          <w:szCs w:val="22"/>
        </w:rPr>
        <w:t>En complément</w:t>
      </w:r>
      <w:r w:rsidR="00A71549">
        <w:rPr>
          <w:rFonts w:cstheme="minorHAnsi"/>
          <w:sz w:val="22"/>
          <w:szCs w:val="22"/>
        </w:rPr>
        <w:t xml:space="preserve"> (facultatif)</w:t>
      </w:r>
      <w:r>
        <w:rPr>
          <w:rFonts w:cstheme="minorHAnsi"/>
          <w:sz w:val="22"/>
          <w:szCs w:val="22"/>
        </w:rPr>
        <w:t>, l</w:t>
      </w:r>
      <w:r w:rsidR="00066CA6" w:rsidRPr="00701D09">
        <w:rPr>
          <w:rFonts w:cstheme="minorHAnsi"/>
          <w:sz w:val="22"/>
          <w:szCs w:val="22"/>
        </w:rPr>
        <w:t xml:space="preserve">e rapport peut </w:t>
      </w:r>
      <w:r>
        <w:rPr>
          <w:rFonts w:cstheme="minorHAnsi"/>
          <w:sz w:val="22"/>
          <w:szCs w:val="22"/>
        </w:rPr>
        <w:t xml:space="preserve">également </w:t>
      </w:r>
      <w:r w:rsidR="00066CA6" w:rsidRPr="00701D09">
        <w:rPr>
          <w:rFonts w:cstheme="minorHAnsi"/>
          <w:sz w:val="22"/>
          <w:szCs w:val="22"/>
        </w:rPr>
        <w:t>évoquer les d</w:t>
      </w:r>
      <w:r w:rsidR="001A1C70" w:rsidRPr="00701D09">
        <w:rPr>
          <w:rFonts w:cstheme="minorHAnsi"/>
          <w:sz w:val="22"/>
          <w:szCs w:val="22"/>
        </w:rPr>
        <w:t xml:space="preserve">émarches </w:t>
      </w:r>
      <w:r>
        <w:rPr>
          <w:rFonts w:cstheme="minorHAnsi"/>
          <w:sz w:val="22"/>
          <w:szCs w:val="22"/>
        </w:rPr>
        <w:t>en amont réalisées en vue d’</w:t>
      </w:r>
      <w:r w:rsidR="001A1C70" w:rsidRPr="00701D09">
        <w:rPr>
          <w:rFonts w:cstheme="minorHAnsi"/>
          <w:sz w:val="22"/>
          <w:szCs w:val="22"/>
        </w:rPr>
        <w:t>amélior</w:t>
      </w:r>
      <w:r>
        <w:rPr>
          <w:rFonts w:cstheme="minorHAnsi"/>
          <w:sz w:val="22"/>
          <w:szCs w:val="22"/>
        </w:rPr>
        <w:t>er</w:t>
      </w:r>
      <w:r w:rsidR="001A1C70" w:rsidRPr="00701D09">
        <w:rPr>
          <w:rFonts w:cstheme="minorHAnsi"/>
          <w:sz w:val="22"/>
          <w:szCs w:val="22"/>
        </w:rPr>
        <w:t xml:space="preserve"> l’habitat</w:t>
      </w:r>
      <w:r w:rsidR="00066CA6" w:rsidRPr="00701D09">
        <w:rPr>
          <w:rFonts w:cstheme="minorHAnsi"/>
          <w:sz w:val="22"/>
          <w:szCs w:val="22"/>
        </w:rPr>
        <w:t>. Il peut s’agi</w:t>
      </w:r>
      <w:r w:rsidR="005160C8">
        <w:rPr>
          <w:rFonts w:cstheme="minorHAnsi"/>
          <w:sz w:val="22"/>
          <w:szCs w:val="22"/>
        </w:rPr>
        <w:t>r</w:t>
      </w:r>
      <w:r w:rsidR="00066CA6" w:rsidRPr="00701D09">
        <w:rPr>
          <w:rFonts w:cstheme="minorHAnsi"/>
          <w:sz w:val="22"/>
          <w:szCs w:val="22"/>
        </w:rPr>
        <w:t xml:space="preserve"> d</w:t>
      </w:r>
      <w:r>
        <w:rPr>
          <w:rFonts w:cstheme="minorHAnsi"/>
          <w:sz w:val="22"/>
          <w:szCs w:val="22"/>
        </w:rPr>
        <w:t xml:space="preserve">es </w:t>
      </w:r>
      <w:r w:rsidR="00066CA6" w:rsidRPr="00701D09">
        <w:rPr>
          <w:rFonts w:cstheme="minorHAnsi"/>
          <w:sz w:val="22"/>
          <w:szCs w:val="22"/>
        </w:rPr>
        <w:t>intervention</w:t>
      </w:r>
      <w:r>
        <w:rPr>
          <w:rFonts w:cstheme="minorHAnsi"/>
          <w:sz w:val="22"/>
          <w:szCs w:val="22"/>
        </w:rPr>
        <w:t xml:space="preserve">s sur le terrain </w:t>
      </w:r>
      <w:r w:rsidR="00066CA6" w:rsidRPr="00701D09">
        <w:rPr>
          <w:rFonts w:cstheme="minorHAnsi"/>
          <w:sz w:val="22"/>
          <w:szCs w:val="22"/>
        </w:rPr>
        <w:t>d’un conseiller</w:t>
      </w:r>
      <w:r>
        <w:rPr>
          <w:rFonts w:cstheme="minorHAnsi"/>
          <w:sz w:val="22"/>
          <w:szCs w:val="22"/>
        </w:rPr>
        <w:t xml:space="preserve"> spécialisé en agroenvironnement</w:t>
      </w:r>
      <w:r w:rsidR="00066CA6" w:rsidRPr="00701D09">
        <w:rPr>
          <w:rFonts w:cstheme="minorHAnsi"/>
          <w:sz w:val="22"/>
          <w:szCs w:val="22"/>
        </w:rPr>
        <w:t xml:space="preserve">, </w:t>
      </w:r>
      <w:r>
        <w:rPr>
          <w:rFonts w:cstheme="minorHAnsi"/>
          <w:sz w:val="22"/>
          <w:szCs w:val="22"/>
        </w:rPr>
        <w:t xml:space="preserve">d’un </w:t>
      </w:r>
      <w:r w:rsidR="00066CA6" w:rsidRPr="00701D09">
        <w:rPr>
          <w:rFonts w:cstheme="minorHAnsi"/>
          <w:sz w:val="22"/>
          <w:szCs w:val="22"/>
        </w:rPr>
        <w:t xml:space="preserve">garde-chasse, </w:t>
      </w:r>
      <w:r>
        <w:rPr>
          <w:rFonts w:cstheme="minorHAnsi"/>
          <w:sz w:val="22"/>
          <w:szCs w:val="22"/>
        </w:rPr>
        <w:t xml:space="preserve">du </w:t>
      </w:r>
      <w:r w:rsidR="00066CA6" w:rsidRPr="00701D09">
        <w:rPr>
          <w:rFonts w:cstheme="minorHAnsi"/>
          <w:sz w:val="22"/>
          <w:szCs w:val="22"/>
        </w:rPr>
        <w:t>titulaire du droit de chasse</w:t>
      </w:r>
      <w:r>
        <w:rPr>
          <w:rFonts w:cstheme="minorHAnsi"/>
          <w:sz w:val="22"/>
          <w:szCs w:val="22"/>
        </w:rPr>
        <w:t xml:space="preserve"> lui-même, </w:t>
      </w:r>
      <w:r w:rsidR="00066CA6" w:rsidRPr="00701D09">
        <w:rPr>
          <w:rFonts w:cstheme="minorHAnsi"/>
          <w:sz w:val="22"/>
          <w:szCs w:val="22"/>
        </w:rPr>
        <w:t>etc.</w:t>
      </w:r>
    </w:p>
    <w:p w14:paraId="6ABF4A4B" w14:textId="77777777" w:rsidR="00066CA6" w:rsidRPr="00E64E9B" w:rsidRDefault="00066CA6" w:rsidP="00E64E9B">
      <w:pPr>
        <w:rPr>
          <w:rFonts w:cstheme="minorHAnsi"/>
          <w:sz w:val="22"/>
          <w:szCs w:val="22"/>
        </w:rPr>
      </w:pPr>
    </w:p>
    <w:p w14:paraId="4D555705" w14:textId="3F3E97BF" w:rsidR="00DB63A8" w:rsidRPr="007E312F" w:rsidRDefault="00DB63A8" w:rsidP="007E312F">
      <w:pPr>
        <w:pStyle w:val="Titre4"/>
      </w:pPr>
      <w:r w:rsidRPr="007E312F">
        <w:t>Prédation</w:t>
      </w:r>
    </w:p>
    <w:p w14:paraId="4CB6FBE9" w14:textId="17A0E7D6" w:rsidR="00280E44" w:rsidRPr="007E312F" w:rsidRDefault="00280E44"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sidRPr="007E312F">
        <w:rPr>
          <w:rFonts w:eastAsia="Calibri" w:cstheme="minorHAnsi"/>
          <w:color w:val="000000"/>
          <w:sz w:val="22"/>
          <w:szCs w:val="22"/>
          <w:lang w:eastAsia="fr-BE"/>
        </w:rPr>
        <w:t>Nombre de renards</w:t>
      </w:r>
      <w:r w:rsidR="004B278D">
        <w:rPr>
          <w:rFonts w:eastAsia="Calibri" w:cstheme="minorHAnsi"/>
          <w:color w:val="000000"/>
          <w:sz w:val="22"/>
          <w:szCs w:val="22"/>
          <w:lang w:eastAsia="fr-BE"/>
        </w:rPr>
        <w:t>,</w:t>
      </w:r>
      <w:r w:rsidRPr="007E312F">
        <w:rPr>
          <w:rFonts w:eastAsia="Calibri" w:cstheme="minorHAnsi"/>
          <w:color w:val="000000"/>
          <w:sz w:val="22"/>
          <w:szCs w:val="22"/>
          <w:lang w:eastAsia="fr-BE"/>
        </w:rPr>
        <w:t xml:space="preserve"> </w:t>
      </w:r>
      <w:r w:rsidR="004B278D" w:rsidRPr="007E312F">
        <w:rPr>
          <w:rFonts w:cstheme="minorHAnsi"/>
          <w:sz w:val="22"/>
          <w:szCs w:val="22"/>
        </w:rPr>
        <w:t>chats harets</w:t>
      </w:r>
      <w:r w:rsidR="004B278D">
        <w:rPr>
          <w:rFonts w:cstheme="minorHAnsi"/>
          <w:sz w:val="22"/>
          <w:szCs w:val="22"/>
        </w:rPr>
        <w:t>,</w:t>
      </w:r>
      <w:r w:rsidR="004B278D" w:rsidRPr="007E312F">
        <w:rPr>
          <w:rFonts w:eastAsia="Calibri" w:cstheme="minorHAnsi"/>
          <w:color w:val="000000"/>
          <w:sz w:val="22"/>
          <w:szCs w:val="22"/>
          <w:lang w:val="fr-BE" w:eastAsia="fr-BE"/>
        </w:rPr>
        <w:t xml:space="preserve"> </w:t>
      </w:r>
      <w:r w:rsidR="004B278D" w:rsidRPr="007E312F">
        <w:rPr>
          <w:rFonts w:cstheme="minorHAnsi"/>
          <w:sz w:val="22"/>
          <w:szCs w:val="22"/>
        </w:rPr>
        <w:t>fouines</w:t>
      </w:r>
      <w:r w:rsidR="004B278D">
        <w:rPr>
          <w:rFonts w:cstheme="minorHAnsi"/>
          <w:sz w:val="22"/>
          <w:szCs w:val="22"/>
        </w:rPr>
        <w:t>,</w:t>
      </w:r>
      <w:r w:rsidR="004B278D" w:rsidRPr="007E312F">
        <w:rPr>
          <w:rFonts w:eastAsia="Calibri" w:cstheme="minorHAnsi"/>
          <w:color w:val="000000"/>
          <w:sz w:val="22"/>
          <w:szCs w:val="22"/>
          <w:lang w:val="fr-BE" w:eastAsia="fr-BE"/>
        </w:rPr>
        <w:t xml:space="preserve"> </w:t>
      </w:r>
      <w:r w:rsidR="004B278D" w:rsidRPr="007E312F">
        <w:rPr>
          <w:rFonts w:cstheme="minorHAnsi"/>
          <w:sz w:val="22"/>
          <w:szCs w:val="22"/>
        </w:rPr>
        <w:t>putois</w:t>
      </w:r>
      <w:r w:rsidR="004B278D">
        <w:rPr>
          <w:rFonts w:cstheme="minorHAnsi"/>
          <w:sz w:val="22"/>
          <w:szCs w:val="22"/>
        </w:rPr>
        <w:t>,</w:t>
      </w:r>
      <w:r w:rsidR="004B278D" w:rsidRPr="007E312F">
        <w:rPr>
          <w:rFonts w:eastAsia="Calibri" w:cstheme="minorHAnsi"/>
          <w:color w:val="000000"/>
          <w:sz w:val="22"/>
          <w:szCs w:val="22"/>
          <w:lang w:val="fr-BE" w:eastAsia="fr-BE"/>
        </w:rPr>
        <w:t xml:space="preserve"> </w:t>
      </w:r>
      <w:r w:rsidR="004B278D" w:rsidRPr="007E312F">
        <w:rPr>
          <w:rFonts w:cstheme="minorHAnsi"/>
          <w:sz w:val="22"/>
          <w:szCs w:val="22"/>
        </w:rPr>
        <w:t>corneilles noires</w:t>
      </w:r>
      <w:r w:rsidR="004B278D">
        <w:rPr>
          <w:rFonts w:cstheme="minorHAnsi"/>
          <w:sz w:val="22"/>
          <w:szCs w:val="22"/>
        </w:rPr>
        <w:t>, pies bavardes et autres prédateurs (à préciser)</w:t>
      </w:r>
      <w:r w:rsidR="004B278D" w:rsidRPr="007E312F">
        <w:rPr>
          <w:rFonts w:eastAsia="Calibri" w:cstheme="minorHAnsi"/>
          <w:color w:val="000000"/>
          <w:sz w:val="22"/>
          <w:szCs w:val="22"/>
          <w:lang w:val="fr-BE" w:eastAsia="fr-BE"/>
        </w:rPr>
        <w:t xml:space="preserve"> </w:t>
      </w:r>
      <w:r w:rsidRPr="007E312F">
        <w:rPr>
          <w:rFonts w:eastAsia="Calibri" w:cstheme="minorHAnsi"/>
          <w:color w:val="000000"/>
          <w:sz w:val="22"/>
          <w:szCs w:val="22"/>
          <w:lang w:val="fr-BE" w:eastAsia="fr-BE"/>
        </w:rPr>
        <w:t>prélevés, par unité de gestion</w:t>
      </w:r>
      <w:r w:rsidR="009E5A00">
        <w:rPr>
          <w:rFonts w:eastAsia="Calibri" w:cstheme="minorHAnsi"/>
          <w:color w:val="000000"/>
          <w:sz w:val="22"/>
          <w:szCs w:val="22"/>
          <w:lang w:val="fr-BE" w:eastAsia="fr-BE"/>
        </w:rPr>
        <w:t xml:space="preserve"> (et – facultatif –  par méthode de régulation : arme à feu / piégeage) </w:t>
      </w:r>
    </w:p>
    <w:p w14:paraId="4EDC8B92" w14:textId="1D551AE8" w:rsidR="00280E44" w:rsidRDefault="00280E44"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sidRPr="007E312F">
        <w:rPr>
          <w:rFonts w:cstheme="minorHAnsi"/>
          <w:sz w:val="22"/>
          <w:szCs w:val="22"/>
        </w:rPr>
        <w:t>Méthodes de régulation des prédateurs mises en œuvre</w:t>
      </w:r>
      <w:r w:rsidR="004B278D">
        <w:rPr>
          <w:rFonts w:cstheme="minorHAnsi"/>
          <w:sz w:val="22"/>
          <w:szCs w:val="22"/>
        </w:rPr>
        <w:t xml:space="preserve"> (arme à feu et/ou piégeage)</w:t>
      </w:r>
      <w:r w:rsidR="00CB28A0">
        <w:rPr>
          <w:rFonts w:cstheme="minorHAnsi"/>
          <w:sz w:val="22"/>
          <w:szCs w:val="22"/>
        </w:rPr>
        <w:t>, par unité de gestion</w:t>
      </w:r>
    </w:p>
    <w:p w14:paraId="61EFEC4A" w14:textId="77777777" w:rsidR="00CD1A6F" w:rsidRDefault="004B278D" w:rsidP="007E312F">
      <w:pPr>
        <w:pStyle w:val="Paragraphedeliste"/>
        <w:widowControl w:val="0"/>
        <w:numPr>
          <w:ilvl w:val="0"/>
          <w:numId w:val="5"/>
        </w:numPr>
        <w:autoSpaceDE w:val="0"/>
        <w:autoSpaceDN w:val="0"/>
        <w:adjustRightInd w:val="0"/>
        <w:contextualSpacing w:val="0"/>
        <w:jc w:val="both"/>
        <w:textAlignment w:val="center"/>
        <w:rPr>
          <w:rFonts w:cstheme="minorHAnsi"/>
          <w:sz w:val="22"/>
          <w:szCs w:val="22"/>
        </w:rPr>
      </w:pPr>
      <w:r>
        <w:rPr>
          <w:rFonts w:cstheme="minorHAnsi"/>
          <w:sz w:val="22"/>
          <w:szCs w:val="22"/>
        </w:rPr>
        <w:t>En complément</w:t>
      </w:r>
      <w:r w:rsidR="00AC70E5">
        <w:rPr>
          <w:rFonts w:cstheme="minorHAnsi"/>
          <w:sz w:val="22"/>
          <w:szCs w:val="22"/>
        </w:rPr>
        <w:t> (facultatif)</w:t>
      </w:r>
      <w:r>
        <w:rPr>
          <w:rFonts w:cstheme="minorHAnsi"/>
          <w:sz w:val="22"/>
          <w:szCs w:val="22"/>
        </w:rPr>
        <w:t xml:space="preserve"> : </w:t>
      </w:r>
    </w:p>
    <w:p w14:paraId="04DB9E16" w14:textId="54307471" w:rsidR="004B278D" w:rsidRDefault="00CB28A0" w:rsidP="00CD1A6F">
      <w:pPr>
        <w:pStyle w:val="Paragraphedeliste"/>
        <w:widowControl w:val="0"/>
        <w:numPr>
          <w:ilvl w:val="1"/>
          <w:numId w:val="5"/>
        </w:numPr>
        <w:autoSpaceDE w:val="0"/>
        <w:autoSpaceDN w:val="0"/>
        <w:adjustRightInd w:val="0"/>
        <w:contextualSpacing w:val="0"/>
        <w:jc w:val="both"/>
        <w:textAlignment w:val="center"/>
        <w:rPr>
          <w:rFonts w:cstheme="minorHAnsi"/>
          <w:sz w:val="22"/>
          <w:szCs w:val="22"/>
        </w:rPr>
      </w:pPr>
      <w:r>
        <w:rPr>
          <w:rFonts w:cstheme="minorHAnsi"/>
          <w:sz w:val="22"/>
          <w:szCs w:val="22"/>
        </w:rPr>
        <w:t>estimation de l’évolution des populations de prédateurs (p.ex. par IK), par unité de gestion, secteur de conseil ou conseil cynégétique</w:t>
      </w:r>
    </w:p>
    <w:p w14:paraId="4FB96E8D" w14:textId="5E379CD4" w:rsidR="009E5A00" w:rsidRPr="007E312F" w:rsidRDefault="009E5A00" w:rsidP="00CD1A6F">
      <w:pPr>
        <w:pStyle w:val="Paragraphedeliste"/>
        <w:widowControl w:val="0"/>
        <w:numPr>
          <w:ilvl w:val="1"/>
          <w:numId w:val="5"/>
        </w:numPr>
        <w:autoSpaceDE w:val="0"/>
        <w:autoSpaceDN w:val="0"/>
        <w:adjustRightInd w:val="0"/>
        <w:contextualSpacing w:val="0"/>
        <w:jc w:val="both"/>
        <w:textAlignment w:val="center"/>
        <w:rPr>
          <w:rFonts w:cstheme="minorHAnsi"/>
          <w:sz w:val="22"/>
          <w:szCs w:val="22"/>
        </w:rPr>
      </w:pPr>
      <w:r>
        <w:rPr>
          <w:rFonts w:cstheme="minorHAnsi"/>
          <w:sz w:val="22"/>
          <w:szCs w:val="22"/>
        </w:rPr>
        <w:t>estimation de l’évolution de l’effort de régulation des prédateurs</w:t>
      </w:r>
    </w:p>
    <w:p w14:paraId="4C4D2590" w14:textId="38E70515" w:rsidR="00280E44" w:rsidRPr="007E312F" w:rsidRDefault="00280E44" w:rsidP="007E312F">
      <w:pPr>
        <w:widowControl w:val="0"/>
        <w:autoSpaceDE w:val="0"/>
        <w:autoSpaceDN w:val="0"/>
        <w:adjustRightInd w:val="0"/>
        <w:jc w:val="both"/>
        <w:textAlignment w:val="center"/>
        <w:rPr>
          <w:rFonts w:cstheme="minorHAnsi"/>
          <w:sz w:val="22"/>
          <w:szCs w:val="22"/>
        </w:rPr>
      </w:pPr>
    </w:p>
    <w:p w14:paraId="11BAD052" w14:textId="658C41DE" w:rsidR="00280E44" w:rsidRPr="007E312F" w:rsidRDefault="009D2F22" w:rsidP="007E312F">
      <w:pPr>
        <w:pStyle w:val="Titre4"/>
      </w:pPr>
      <w:r w:rsidRPr="007E312F">
        <w:t>Autres mesures prises en faveur de la perdrix grise</w:t>
      </w:r>
      <w:r w:rsidR="00B83533">
        <w:rPr>
          <w:rFonts w:cstheme="minorHAnsi"/>
        </w:rPr>
        <w:t xml:space="preserve"> </w:t>
      </w:r>
      <w:r w:rsidR="00AC70E5">
        <w:rPr>
          <w:rFonts w:cstheme="minorHAnsi"/>
        </w:rPr>
        <w:t>(facultatif)</w:t>
      </w:r>
      <w:r w:rsidRPr="007E312F">
        <w:t xml:space="preserve"> </w:t>
      </w:r>
    </w:p>
    <w:p w14:paraId="05EBEE39" w14:textId="47B33D5A" w:rsidR="00DB63A8" w:rsidRDefault="001A01D1" w:rsidP="001A01D1">
      <w:pPr>
        <w:ind w:firstLine="357"/>
        <w:jc w:val="both"/>
        <w:rPr>
          <w:rFonts w:eastAsiaTheme="minorHAnsi" w:cstheme="minorHAnsi"/>
          <w:sz w:val="22"/>
          <w:szCs w:val="22"/>
          <w:lang w:val="fr-BE" w:eastAsia="en-US"/>
        </w:rPr>
      </w:pPr>
      <w:r>
        <w:rPr>
          <w:rFonts w:eastAsiaTheme="minorHAnsi" w:cstheme="minorHAnsi"/>
          <w:sz w:val="22"/>
          <w:szCs w:val="22"/>
          <w:lang w:val="fr-BE" w:eastAsia="en-US"/>
        </w:rPr>
        <w:t xml:space="preserve">Par exemple : </w:t>
      </w:r>
    </w:p>
    <w:p w14:paraId="42457BDD" w14:textId="0B373582" w:rsidR="001A01D1" w:rsidRDefault="001A01D1" w:rsidP="001A01D1">
      <w:pPr>
        <w:pStyle w:val="Paragraphedeliste"/>
        <w:numPr>
          <w:ilvl w:val="0"/>
          <w:numId w:val="5"/>
        </w:numPr>
        <w:jc w:val="both"/>
        <w:rPr>
          <w:rFonts w:eastAsiaTheme="minorHAnsi" w:cstheme="minorHAnsi"/>
          <w:sz w:val="22"/>
          <w:szCs w:val="22"/>
          <w:lang w:val="fr-BE" w:eastAsia="en-US"/>
        </w:rPr>
      </w:pPr>
      <w:r>
        <w:rPr>
          <w:rFonts w:eastAsiaTheme="minorHAnsi" w:cstheme="minorHAnsi"/>
          <w:sz w:val="22"/>
          <w:szCs w:val="22"/>
          <w:lang w:val="fr-BE" w:eastAsia="en-US"/>
        </w:rPr>
        <w:t>Anciennes données de comptages de perdrix, sur des territoires de référence</w:t>
      </w:r>
    </w:p>
    <w:p w14:paraId="600C7D56" w14:textId="76EF67C2" w:rsidR="001A01D1" w:rsidRDefault="00273A80" w:rsidP="001A01D1">
      <w:pPr>
        <w:pStyle w:val="Paragraphedeliste"/>
        <w:numPr>
          <w:ilvl w:val="0"/>
          <w:numId w:val="5"/>
        </w:numPr>
        <w:jc w:val="both"/>
        <w:rPr>
          <w:rFonts w:eastAsiaTheme="minorHAnsi" w:cstheme="minorHAnsi"/>
          <w:sz w:val="22"/>
          <w:szCs w:val="22"/>
          <w:lang w:val="fr-BE" w:eastAsia="en-US"/>
        </w:rPr>
      </w:pPr>
      <w:r>
        <w:rPr>
          <w:rFonts w:eastAsiaTheme="minorHAnsi" w:cstheme="minorHAnsi"/>
          <w:sz w:val="22"/>
          <w:szCs w:val="22"/>
          <w:lang w:val="fr-BE" w:eastAsia="en-US"/>
        </w:rPr>
        <w:t xml:space="preserve">Mesures prises </w:t>
      </w:r>
      <w:r w:rsidR="00066CA6">
        <w:rPr>
          <w:rFonts w:eastAsiaTheme="minorHAnsi" w:cstheme="minorHAnsi"/>
          <w:sz w:val="22"/>
          <w:szCs w:val="22"/>
          <w:lang w:val="fr-BE" w:eastAsia="en-US"/>
        </w:rPr>
        <w:t>contre le braconnage</w:t>
      </w:r>
    </w:p>
    <w:p w14:paraId="596C695F" w14:textId="4546A70A" w:rsidR="00066CA6" w:rsidRDefault="00066CA6" w:rsidP="001A01D1">
      <w:pPr>
        <w:pStyle w:val="Paragraphedeliste"/>
        <w:numPr>
          <w:ilvl w:val="0"/>
          <w:numId w:val="5"/>
        </w:numPr>
        <w:jc w:val="both"/>
        <w:rPr>
          <w:rFonts w:eastAsiaTheme="minorHAnsi" w:cstheme="minorHAnsi"/>
          <w:sz w:val="22"/>
          <w:szCs w:val="22"/>
          <w:lang w:val="fr-BE" w:eastAsia="en-US"/>
        </w:rPr>
      </w:pPr>
      <w:r>
        <w:rPr>
          <w:rFonts w:eastAsiaTheme="minorHAnsi" w:cstheme="minorHAnsi"/>
          <w:sz w:val="22"/>
          <w:szCs w:val="22"/>
          <w:lang w:val="fr-BE" w:eastAsia="en-US"/>
        </w:rPr>
        <w:t xml:space="preserve">Mesures en faveur du suivi sanitaire des perdrix (récolte </w:t>
      </w:r>
      <w:r w:rsidR="00771876">
        <w:rPr>
          <w:rFonts w:eastAsiaTheme="minorHAnsi" w:cstheme="minorHAnsi"/>
          <w:sz w:val="22"/>
          <w:szCs w:val="22"/>
          <w:lang w:val="fr-BE" w:eastAsia="en-US"/>
        </w:rPr>
        <w:t xml:space="preserve">des cadavres </w:t>
      </w:r>
      <w:r>
        <w:rPr>
          <w:rFonts w:eastAsiaTheme="minorHAnsi" w:cstheme="minorHAnsi"/>
          <w:sz w:val="22"/>
          <w:szCs w:val="22"/>
          <w:lang w:val="fr-BE" w:eastAsia="en-US"/>
        </w:rPr>
        <w:t>et analyse des causes de mortalité)</w:t>
      </w:r>
    </w:p>
    <w:p w14:paraId="4FB3741F" w14:textId="4BBC015F" w:rsidR="00426943" w:rsidRDefault="00426943" w:rsidP="001A01D1">
      <w:pPr>
        <w:pStyle w:val="Paragraphedeliste"/>
        <w:numPr>
          <w:ilvl w:val="0"/>
          <w:numId w:val="5"/>
        </w:numPr>
        <w:jc w:val="both"/>
        <w:rPr>
          <w:rFonts w:eastAsiaTheme="minorHAnsi" w:cstheme="minorHAnsi"/>
          <w:sz w:val="22"/>
          <w:szCs w:val="22"/>
          <w:lang w:val="fr-BE" w:eastAsia="en-US"/>
        </w:rPr>
      </w:pPr>
      <w:r>
        <w:rPr>
          <w:rFonts w:eastAsiaTheme="minorHAnsi" w:cstheme="minorHAnsi"/>
          <w:sz w:val="22"/>
          <w:szCs w:val="22"/>
          <w:lang w:val="fr-BE" w:eastAsia="en-US"/>
        </w:rPr>
        <w:t>Mise en place de réserves de chasse</w:t>
      </w:r>
    </w:p>
    <w:p w14:paraId="068D7EAB" w14:textId="5F211EE7" w:rsidR="00771876" w:rsidRDefault="00771876" w:rsidP="001A01D1">
      <w:pPr>
        <w:pStyle w:val="Paragraphedeliste"/>
        <w:numPr>
          <w:ilvl w:val="0"/>
          <w:numId w:val="5"/>
        </w:numPr>
        <w:jc w:val="both"/>
        <w:rPr>
          <w:rFonts w:eastAsiaTheme="minorHAnsi" w:cstheme="minorHAnsi"/>
          <w:sz w:val="22"/>
          <w:szCs w:val="22"/>
          <w:lang w:val="fr-BE" w:eastAsia="en-US"/>
        </w:rPr>
      </w:pPr>
      <w:r>
        <w:rPr>
          <w:rFonts w:eastAsiaTheme="minorHAnsi" w:cstheme="minorHAnsi"/>
          <w:sz w:val="22"/>
          <w:szCs w:val="22"/>
          <w:lang w:val="fr-BE" w:eastAsia="en-US"/>
        </w:rPr>
        <w:t>Mesures pour limiter l’impact du machinisme agricole sur les couveuses</w:t>
      </w:r>
    </w:p>
    <w:p w14:paraId="135D4F39" w14:textId="50D7D32D" w:rsidR="00426943" w:rsidRPr="001A01D1" w:rsidRDefault="00426943" w:rsidP="001A01D1">
      <w:pPr>
        <w:pStyle w:val="Paragraphedeliste"/>
        <w:numPr>
          <w:ilvl w:val="0"/>
          <w:numId w:val="5"/>
        </w:numPr>
        <w:jc w:val="both"/>
        <w:rPr>
          <w:rFonts w:eastAsiaTheme="minorHAnsi" w:cstheme="minorHAnsi"/>
          <w:sz w:val="22"/>
          <w:szCs w:val="22"/>
          <w:lang w:val="fr-BE" w:eastAsia="en-US"/>
        </w:rPr>
      </w:pPr>
      <w:r>
        <w:rPr>
          <w:rFonts w:eastAsiaTheme="minorHAnsi" w:cstheme="minorHAnsi"/>
          <w:sz w:val="22"/>
          <w:szCs w:val="22"/>
          <w:lang w:val="fr-BE" w:eastAsia="en-US"/>
        </w:rPr>
        <w:t>Etc.</w:t>
      </w:r>
    </w:p>
    <w:p w14:paraId="7483B873" w14:textId="7C48061D" w:rsidR="007E312F" w:rsidRDefault="007E312F" w:rsidP="007E312F">
      <w:pPr>
        <w:jc w:val="both"/>
        <w:rPr>
          <w:rFonts w:eastAsiaTheme="minorHAnsi" w:cstheme="minorHAnsi"/>
          <w:sz w:val="22"/>
          <w:szCs w:val="22"/>
          <w:lang w:val="fr-BE" w:eastAsia="en-US"/>
        </w:rPr>
      </w:pPr>
    </w:p>
    <w:sectPr w:rsidR="007E312F" w:rsidSect="001949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A5" w14:textId="77777777" w:rsidR="001A5A15" w:rsidRDefault="001A5A15" w:rsidP="001A5A15">
      <w:r>
        <w:separator/>
      </w:r>
    </w:p>
  </w:endnote>
  <w:endnote w:type="continuationSeparator" w:id="0">
    <w:p w14:paraId="2778315C" w14:textId="77777777" w:rsidR="001A5A15" w:rsidRDefault="001A5A15" w:rsidP="001A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0370" w14:textId="77777777" w:rsidR="001A5A15" w:rsidRDefault="001A5A15" w:rsidP="001A5A15">
      <w:r>
        <w:separator/>
      </w:r>
    </w:p>
  </w:footnote>
  <w:footnote w:type="continuationSeparator" w:id="0">
    <w:p w14:paraId="2589C6F0" w14:textId="77777777" w:rsidR="001A5A15" w:rsidRDefault="001A5A15" w:rsidP="001A5A15">
      <w:r>
        <w:continuationSeparator/>
      </w:r>
    </w:p>
  </w:footnote>
  <w:footnote w:id="1">
    <w:p w14:paraId="0BFBE74A" w14:textId="5A10782C" w:rsidR="00C33EF5" w:rsidRDefault="00C33EF5" w:rsidP="00C33EF5">
      <w:pPr>
        <w:pStyle w:val="Notedebasdepage"/>
        <w:jc w:val="both"/>
      </w:pPr>
      <w:r>
        <w:rPr>
          <w:rStyle w:val="Appelnotedebasdep"/>
        </w:rPr>
        <w:footnoteRef/>
      </w:r>
      <w:r>
        <w:t xml:space="preserve"> </w:t>
      </w:r>
      <w:r w:rsidRPr="00C33EF5">
        <w:t>Arrêté du Gouvernement wallon du 29 mai 2020 fixant les dates de l’ouverture, de la clôture et de la suspension de la chasse, du 1er juillet 2020 au 30 juin 2025 (M.B. 15.06.2020)</w:t>
      </w:r>
      <w:r>
        <w:t>.</w:t>
      </w:r>
    </w:p>
  </w:footnote>
  <w:footnote w:id="2">
    <w:p w14:paraId="79D0BBD0" w14:textId="5F3ADF4A" w:rsidR="00C33EF5" w:rsidRDefault="00C33EF5" w:rsidP="00C33EF5">
      <w:pPr>
        <w:pStyle w:val="Notedebasdepage"/>
        <w:jc w:val="both"/>
      </w:pPr>
      <w:r>
        <w:rPr>
          <w:rStyle w:val="Appelnotedebasdep"/>
        </w:rPr>
        <w:footnoteRef/>
      </w:r>
      <w:r>
        <w:t xml:space="preserve"> </w:t>
      </w:r>
      <w:r w:rsidRPr="00C33EF5">
        <w:t>Arrêté ministériel du 10 juin 2021 fixant les modalités d'introduction et d'approbation des plans de gestion de la perdrix grise, ainsi que celles relatives aux rapports annuels de la mise en œuvre de ces plans (M.B. 08.07.2021).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622"/>
    <w:multiLevelType w:val="hybridMultilevel"/>
    <w:tmpl w:val="71F4396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D40E08"/>
    <w:multiLevelType w:val="hybridMultilevel"/>
    <w:tmpl w:val="E2126DE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DF638B"/>
    <w:multiLevelType w:val="hybridMultilevel"/>
    <w:tmpl w:val="339683E4"/>
    <w:lvl w:ilvl="0" w:tplc="03AA0818">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6D4FB1"/>
    <w:multiLevelType w:val="hybridMultilevel"/>
    <w:tmpl w:val="EC62F7D8"/>
    <w:lvl w:ilvl="0" w:tplc="85FC76FA">
      <w:start w:val="7"/>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15:restartNumberingAfterBreak="0">
    <w:nsid w:val="16754AE1"/>
    <w:multiLevelType w:val="hybridMultilevel"/>
    <w:tmpl w:val="9E106B9A"/>
    <w:lvl w:ilvl="0" w:tplc="D47AC7E8">
      <w:numFmt w:val="bullet"/>
      <w:lvlText w:val="-"/>
      <w:lvlJc w:val="left"/>
      <w:pPr>
        <w:ind w:left="720" w:hanging="360"/>
      </w:pPr>
      <w:rPr>
        <w:rFonts w:ascii="Calibri" w:eastAsia="Calibri" w:hAnsi="Calibri" w:cs="Calibri" w:hint="default"/>
      </w:rPr>
    </w:lvl>
    <w:lvl w:ilvl="1" w:tplc="579C8452">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C00338"/>
    <w:multiLevelType w:val="hybridMultilevel"/>
    <w:tmpl w:val="291EBB06"/>
    <w:lvl w:ilvl="0" w:tplc="5EE856B0">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180760"/>
    <w:multiLevelType w:val="hybridMultilevel"/>
    <w:tmpl w:val="CAEE9B54"/>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889031E"/>
    <w:multiLevelType w:val="hybridMultilevel"/>
    <w:tmpl w:val="43F6A20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F05991"/>
    <w:multiLevelType w:val="hybridMultilevel"/>
    <w:tmpl w:val="CD84FCD4"/>
    <w:lvl w:ilvl="0" w:tplc="080C000F">
      <w:start w:val="1"/>
      <w:numFmt w:val="decimal"/>
      <w:lvlText w:val="%1."/>
      <w:lvlJc w:val="left"/>
      <w:pPr>
        <w:ind w:left="360" w:firstLine="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86F59F7"/>
    <w:multiLevelType w:val="hybridMultilevel"/>
    <w:tmpl w:val="9F0C2C86"/>
    <w:lvl w:ilvl="0" w:tplc="D47AC7E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E6B6C72"/>
    <w:multiLevelType w:val="hybridMultilevel"/>
    <w:tmpl w:val="167A8FB2"/>
    <w:lvl w:ilvl="0" w:tplc="B69E454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0340195"/>
    <w:multiLevelType w:val="hybridMultilevel"/>
    <w:tmpl w:val="4F8625D4"/>
    <w:lvl w:ilvl="0" w:tplc="46429DC0">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2337E47"/>
    <w:multiLevelType w:val="hybridMultilevel"/>
    <w:tmpl w:val="1ED07C9C"/>
    <w:lvl w:ilvl="0" w:tplc="B954776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7322DA3"/>
    <w:multiLevelType w:val="hybridMultilevel"/>
    <w:tmpl w:val="DBF4B0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CAE2C87"/>
    <w:multiLevelType w:val="hybridMultilevel"/>
    <w:tmpl w:val="F6329B38"/>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C873FD"/>
    <w:multiLevelType w:val="hybridMultilevel"/>
    <w:tmpl w:val="F39E81E8"/>
    <w:lvl w:ilvl="0" w:tplc="03AA0818">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FA6113F"/>
    <w:multiLevelType w:val="hybridMultilevel"/>
    <w:tmpl w:val="AE8EF55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1B16396"/>
    <w:multiLevelType w:val="hybridMultilevel"/>
    <w:tmpl w:val="A170B334"/>
    <w:lvl w:ilvl="0" w:tplc="12FEF39E">
      <w:start w:val="15"/>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5B3389D"/>
    <w:multiLevelType w:val="hybridMultilevel"/>
    <w:tmpl w:val="8BA24AC0"/>
    <w:lvl w:ilvl="0" w:tplc="2D940DD8">
      <w:start w:val="1"/>
      <w:numFmt w:val="bullet"/>
      <w:lvlText w:val=""/>
      <w:lvlJc w:val="left"/>
      <w:pPr>
        <w:ind w:left="720" w:hanging="360"/>
      </w:pPr>
      <w:rPr>
        <w:rFonts w:ascii="Wingdings" w:hAnsi="Wingdings" w:hint="default"/>
        <w:lang w:val="fr-B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1334D11"/>
    <w:multiLevelType w:val="hybridMultilevel"/>
    <w:tmpl w:val="0E227C42"/>
    <w:lvl w:ilvl="0" w:tplc="2D7444CE">
      <w:start w:val="1"/>
      <w:numFmt w:val="decimal"/>
      <w:lvlText w:val="%1."/>
      <w:lvlJc w:val="left"/>
      <w:pPr>
        <w:ind w:left="430" w:hanging="360"/>
      </w:pPr>
      <w:rPr>
        <w:rFonts w:hint="default"/>
      </w:rPr>
    </w:lvl>
    <w:lvl w:ilvl="1" w:tplc="080C0019" w:tentative="1">
      <w:start w:val="1"/>
      <w:numFmt w:val="lowerLetter"/>
      <w:lvlText w:val="%2."/>
      <w:lvlJc w:val="left"/>
      <w:pPr>
        <w:ind w:left="1150" w:hanging="360"/>
      </w:pPr>
    </w:lvl>
    <w:lvl w:ilvl="2" w:tplc="080C001B" w:tentative="1">
      <w:start w:val="1"/>
      <w:numFmt w:val="lowerRoman"/>
      <w:lvlText w:val="%3."/>
      <w:lvlJc w:val="right"/>
      <w:pPr>
        <w:ind w:left="1870" w:hanging="180"/>
      </w:pPr>
    </w:lvl>
    <w:lvl w:ilvl="3" w:tplc="080C000F" w:tentative="1">
      <w:start w:val="1"/>
      <w:numFmt w:val="decimal"/>
      <w:lvlText w:val="%4."/>
      <w:lvlJc w:val="left"/>
      <w:pPr>
        <w:ind w:left="2590" w:hanging="360"/>
      </w:pPr>
    </w:lvl>
    <w:lvl w:ilvl="4" w:tplc="080C0019" w:tentative="1">
      <w:start w:val="1"/>
      <w:numFmt w:val="lowerLetter"/>
      <w:lvlText w:val="%5."/>
      <w:lvlJc w:val="left"/>
      <w:pPr>
        <w:ind w:left="3310" w:hanging="360"/>
      </w:pPr>
    </w:lvl>
    <w:lvl w:ilvl="5" w:tplc="080C001B" w:tentative="1">
      <w:start w:val="1"/>
      <w:numFmt w:val="lowerRoman"/>
      <w:lvlText w:val="%6."/>
      <w:lvlJc w:val="right"/>
      <w:pPr>
        <w:ind w:left="4030" w:hanging="180"/>
      </w:pPr>
    </w:lvl>
    <w:lvl w:ilvl="6" w:tplc="080C000F" w:tentative="1">
      <w:start w:val="1"/>
      <w:numFmt w:val="decimal"/>
      <w:lvlText w:val="%7."/>
      <w:lvlJc w:val="left"/>
      <w:pPr>
        <w:ind w:left="4750" w:hanging="360"/>
      </w:pPr>
    </w:lvl>
    <w:lvl w:ilvl="7" w:tplc="080C0019" w:tentative="1">
      <w:start w:val="1"/>
      <w:numFmt w:val="lowerLetter"/>
      <w:lvlText w:val="%8."/>
      <w:lvlJc w:val="left"/>
      <w:pPr>
        <w:ind w:left="5470" w:hanging="360"/>
      </w:pPr>
    </w:lvl>
    <w:lvl w:ilvl="8" w:tplc="080C001B" w:tentative="1">
      <w:start w:val="1"/>
      <w:numFmt w:val="lowerRoman"/>
      <w:lvlText w:val="%9."/>
      <w:lvlJc w:val="right"/>
      <w:pPr>
        <w:ind w:left="6190" w:hanging="180"/>
      </w:pPr>
    </w:lvl>
  </w:abstractNum>
  <w:abstractNum w:abstractNumId="20" w15:restartNumberingAfterBreak="0">
    <w:nsid w:val="52DD3EC1"/>
    <w:multiLevelType w:val="hybridMultilevel"/>
    <w:tmpl w:val="79041A5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C1B47E3"/>
    <w:multiLevelType w:val="hybridMultilevel"/>
    <w:tmpl w:val="08424BE4"/>
    <w:lvl w:ilvl="0" w:tplc="12FEF39E">
      <w:start w:val="400"/>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264636B"/>
    <w:multiLevelType w:val="hybridMultilevel"/>
    <w:tmpl w:val="79041A5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48E5F2D"/>
    <w:multiLevelType w:val="hybridMultilevel"/>
    <w:tmpl w:val="997243BA"/>
    <w:lvl w:ilvl="0" w:tplc="12C69F94">
      <w:start w:val="3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5" w15:restartNumberingAfterBreak="0">
    <w:nsid w:val="7833018B"/>
    <w:multiLevelType w:val="multilevel"/>
    <w:tmpl w:val="51D0FC8A"/>
    <w:lvl w:ilvl="0">
      <w:start w:val="1"/>
      <w:numFmt w:val="decimal"/>
      <w:pStyle w:val="Titre3"/>
      <w:lvlText w:val="%1."/>
      <w:lvlJc w:val="left"/>
      <w:pPr>
        <w:ind w:left="720" w:hanging="360"/>
      </w:pPr>
      <w:rPr>
        <w:rFonts w:hint="default"/>
      </w:rPr>
    </w:lvl>
    <w:lvl w:ilvl="1">
      <w:start w:val="1"/>
      <w:numFmt w:val="decimal"/>
      <w:pStyle w:val="Titre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656EBB"/>
    <w:multiLevelType w:val="hybridMultilevel"/>
    <w:tmpl w:val="A83EF366"/>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D7E141D"/>
    <w:multiLevelType w:val="hybridMultilevel"/>
    <w:tmpl w:val="64BE5CD2"/>
    <w:lvl w:ilvl="0" w:tplc="BCE2CB34">
      <w:numFmt w:val="bullet"/>
      <w:lvlText w:val="-"/>
      <w:lvlJc w:val="left"/>
      <w:pPr>
        <w:ind w:left="720" w:hanging="360"/>
      </w:pPr>
      <w:rPr>
        <w:rFonts w:ascii="Calibri" w:eastAsiaTheme="minorEastAsia" w:hAnsi="Calibri" w:cs="Calibri" w:hint="default"/>
      </w:rPr>
    </w:lvl>
    <w:lvl w:ilvl="1" w:tplc="9DF0B18A">
      <w:numFmt w:val="bullet"/>
      <w:lvlText w:val="-"/>
      <w:lvlJc w:val="left"/>
      <w:pPr>
        <w:ind w:left="1440" w:hanging="360"/>
      </w:pPr>
      <w:rPr>
        <w:rFonts w:ascii="Times New Roman" w:eastAsia="Times New Roman" w:hAnsi="Times New Roman" w:cs="Times New Roman" w:hint="default"/>
        <w:spacing w:val="-2"/>
        <w:w w:val="99"/>
        <w:sz w:val="24"/>
        <w:szCs w:val="24"/>
        <w:lang w:val="fr-FR" w:eastAsia="fr-FR" w:bidi="fr-FR"/>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F047EB8"/>
    <w:multiLevelType w:val="hybridMultilevel"/>
    <w:tmpl w:val="7F84855E"/>
    <w:lvl w:ilvl="0" w:tplc="28BE8FFC">
      <w:numFmt w:val="bullet"/>
      <w:lvlText w:val="-"/>
      <w:lvlJc w:val="left"/>
      <w:pPr>
        <w:ind w:left="720" w:hanging="360"/>
      </w:pPr>
      <w:rPr>
        <w:rFonts w:ascii="Calibri" w:eastAsia="Calibri" w:hAnsi="Calibri" w:cs="Times New Roman" w:hint="default"/>
        <w:color w:val="1F497D"/>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20"/>
  </w:num>
  <w:num w:numId="4">
    <w:abstractNumId w:val="24"/>
  </w:num>
  <w:num w:numId="5">
    <w:abstractNumId w:val="9"/>
  </w:num>
  <w:num w:numId="6">
    <w:abstractNumId w:val="25"/>
  </w:num>
  <w:num w:numId="7">
    <w:abstractNumId w:val="23"/>
  </w:num>
  <w:num w:numId="8">
    <w:abstractNumId w:val="16"/>
  </w:num>
  <w:num w:numId="9">
    <w:abstractNumId w:val="18"/>
  </w:num>
  <w:num w:numId="10">
    <w:abstractNumId w:val="14"/>
  </w:num>
  <w:num w:numId="11">
    <w:abstractNumId w:val="0"/>
  </w:num>
  <w:num w:numId="12">
    <w:abstractNumId w:val="7"/>
  </w:num>
  <w:num w:numId="13">
    <w:abstractNumId w:val="1"/>
  </w:num>
  <w:num w:numId="14">
    <w:abstractNumId w:val="26"/>
  </w:num>
  <w:num w:numId="15">
    <w:abstractNumId w:val="27"/>
  </w:num>
  <w:num w:numId="16">
    <w:abstractNumId w:val="13"/>
  </w:num>
  <w:num w:numId="17">
    <w:abstractNumId w:val="25"/>
  </w:num>
  <w:num w:numId="18">
    <w:abstractNumId w:val="25"/>
  </w:num>
  <w:num w:numId="19">
    <w:abstractNumId w:val="4"/>
  </w:num>
  <w:num w:numId="20">
    <w:abstractNumId w:val="22"/>
  </w:num>
  <w:num w:numId="21">
    <w:abstractNumId w:val="15"/>
  </w:num>
  <w:num w:numId="22">
    <w:abstractNumId w:val="2"/>
  </w:num>
  <w:num w:numId="23">
    <w:abstractNumId w:val="12"/>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8"/>
  </w:num>
  <w:num w:numId="29">
    <w:abstractNumId w:val="11"/>
  </w:num>
  <w:num w:numId="30">
    <w:abstractNumId w:val="17"/>
  </w:num>
  <w:num w:numId="31">
    <w:abstractNumId w:val="21"/>
  </w:num>
  <w:num w:numId="32">
    <w:abstractNumId w:val="19"/>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5"/>
  </w:num>
  <w:num w:numId="36">
    <w:abstractNumId w:val="25"/>
  </w:num>
  <w:num w:numId="37">
    <w:abstractNumId w:val="25"/>
  </w:num>
  <w:num w:numId="38">
    <w:abstractNumId w:val="10"/>
  </w:num>
  <w:num w:numId="39">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15"/>
    <w:rsid w:val="00066CA6"/>
    <w:rsid w:val="0007048C"/>
    <w:rsid w:val="00082721"/>
    <w:rsid w:val="000B1F64"/>
    <w:rsid w:val="000C540B"/>
    <w:rsid w:val="0011537D"/>
    <w:rsid w:val="001511E0"/>
    <w:rsid w:val="0016564A"/>
    <w:rsid w:val="00194929"/>
    <w:rsid w:val="001A01D1"/>
    <w:rsid w:val="001A1C70"/>
    <w:rsid w:val="001A5A15"/>
    <w:rsid w:val="001A73AC"/>
    <w:rsid w:val="001F298A"/>
    <w:rsid w:val="002276FD"/>
    <w:rsid w:val="002672E9"/>
    <w:rsid w:val="00267BF3"/>
    <w:rsid w:val="00270F1B"/>
    <w:rsid w:val="00273A80"/>
    <w:rsid w:val="00280E44"/>
    <w:rsid w:val="00327330"/>
    <w:rsid w:val="0037622E"/>
    <w:rsid w:val="003A4939"/>
    <w:rsid w:val="00426943"/>
    <w:rsid w:val="004429F7"/>
    <w:rsid w:val="004671EA"/>
    <w:rsid w:val="004B278D"/>
    <w:rsid w:val="004C2187"/>
    <w:rsid w:val="005160C8"/>
    <w:rsid w:val="00523C77"/>
    <w:rsid w:val="005B5EB3"/>
    <w:rsid w:val="005E776B"/>
    <w:rsid w:val="005F34AE"/>
    <w:rsid w:val="00676207"/>
    <w:rsid w:val="006A5CDA"/>
    <w:rsid w:val="006F0D38"/>
    <w:rsid w:val="00701D09"/>
    <w:rsid w:val="007069BE"/>
    <w:rsid w:val="00771876"/>
    <w:rsid w:val="0078359D"/>
    <w:rsid w:val="007B3AB2"/>
    <w:rsid w:val="007B4809"/>
    <w:rsid w:val="007E312F"/>
    <w:rsid w:val="00822567"/>
    <w:rsid w:val="008411CF"/>
    <w:rsid w:val="00883C6C"/>
    <w:rsid w:val="008A6E74"/>
    <w:rsid w:val="008C7554"/>
    <w:rsid w:val="00927DC2"/>
    <w:rsid w:val="00997964"/>
    <w:rsid w:val="009A2E51"/>
    <w:rsid w:val="009A5629"/>
    <w:rsid w:val="009D2F22"/>
    <w:rsid w:val="009E5A00"/>
    <w:rsid w:val="009F6BDF"/>
    <w:rsid w:val="00A57774"/>
    <w:rsid w:val="00A71549"/>
    <w:rsid w:val="00AC70E5"/>
    <w:rsid w:val="00AF4AFD"/>
    <w:rsid w:val="00B374ED"/>
    <w:rsid w:val="00B650C3"/>
    <w:rsid w:val="00B718A1"/>
    <w:rsid w:val="00B83533"/>
    <w:rsid w:val="00B90578"/>
    <w:rsid w:val="00BB599C"/>
    <w:rsid w:val="00BF4CDD"/>
    <w:rsid w:val="00C17775"/>
    <w:rsid w:val="00C33EF5"/>
    <w:rsid w:val="00C90F60"/>
    <w:rsid w:val="00CB28A0"/>
    <w:rsid w:val="00CD139A"/>
    <w:rsid w:val="00CD1A6F"/>
    <w:rsid w:val="00CF1D53"/>
    <w:rsid w:val="00D40104"/>
    <w:rsid w:val="00D46DEB"/>
    <w:rsid w:val="00D71FDC"/>
    <w:rsid w:val="00D83D2C"/>
    <w:rsid w:val="00DB63A8"/>
    <w:rsid w:val="00DE771C"/>
    <w:rsid w:val="00E0250A"/>
    <w:rsid w:val="00E37E5F"/>
    <w:rsid w:val="00E511C8"/>
    <w:rsid w:val="00E64E9B"/>
    <w:rsid w:val="00E8511F"/>
    <w:rsid w:val="00E96719"/>
    <w:rsid w:val="00EC6C08"/>
    <w:rsid w:val="00EE3CD0"/>
    <w:rsid w:val="00F420AE"/>
    <w:rsid w:val="00F6787C"/>
    <w:rsid w:val="00FA34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8D0B7E"/>
  <w15:chartTrackingRefBased/>
  <w15:docId w15:val="{4726972E-5CC7-445B-9ED4-C33402D2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15"/>
    <w:pPr>
      <w:spacing w:after="0" w:line="240" w:lineRule="auto"/>
    </w:pPr>
    <w:rPr>
      <w:rFonts w:eastAsiaTheme="minorEastAsia"/>
      <w:sz w:val="24"/>
      <w:szCs w:val="24"/>
      <w:lang w:val="fr-FR" w:eastAsia="fr-FR"/>
    </w:rPr>
  </w:style>
  <w:style w:type="paragraph" w:styleId="Titre1">
    <w:name w:val="heading 1"/>
    <w:basedOn w:val="Normal"/>
    <w:next w:val="Normal"/>
    <w:link w:val="Titre1Car"/>
    <w:uiPriority w:val="9"/>
    <w:qFormat/>
    <w:rsid w:val="00082721"/>
    <w:pPr>
      <w:keepNext/>
      <w:keepLines/>
      <w:spacing w:before="240" w:after="120" w:line="360" w:lineRule="auto"/>
      <w:jc w:val="center"/>
      <w:outlineLvl w:val="0"/>
    </w:pPr>
    <w:rPr>
      <w:rFonts w:eastAsia="Times New Roman" w:cstheme="majorBidi"/>
      <w:b/>
      <w:bCs/>
      <w:color w:val="BFBFBF" w:themeColor="background1" w:themeShade="BF"/>
      <w:sz w:val="48"/>
      <w:szCs w:val="28"/>
    </w:rPr>
  </w:style>
  <w:style w:type="paragraph" w:styleId="Titre2">
    <w:name w:val="heading 2"/>
    <w:basedOn w:val="Titre"/>
    <w:next w:val="Normal"/>
    <w:link w:val="Titre2Car"/>
    <w:uiPriority w:val="9"/>
    <w:unhideWhenUsed/>
    <w:qFormat/>
    <w:rsid w:val="00082721"/>
    <w:pPr>
      <w:pBdr>
        <w:bottom w:val="single" w:sz="8" w:space="4" w:color="4F81BD" w:themeColor="accent1"/>
      </w:pBdr>
      <w:spacing w:after="300"/>
      <w:jc w:val="center"/>
      <w:outlineLvl w:val="1"/>
    </w:pPr>
    <w:rPr>
      <w:rFonts w:eastAsia="Times New Roman"/>
      <w:b/>
      <w:color w:val="17365D" w:themeColor="text2" w:themeShade="BF"/>
      <w:spacing w:val="5"/>
      <w:sz w:val="32"/>
      <w:szCs w:val="32"/>
    </w:rPr>
  </w:style>
  <w:style w:type="paragraph" w:styleId="Titre3">
    <w:name w:val="heading 3"/>
    <w:basedOn w:val="Normal"/>
    <w:next w:val="Normal"/>
    <w:link w:val="Titre3Car"/>
    <w:uiPriority w:val="9"/>
    <w:unhideWhenUsed/>
    <w:qFormat/>
    <w:rsid w:val="00082721"/>
    <w:pPr>
      <w:keepNext/>
      <w:keepLines/>
      <w:numPr>
        <w:numId w:val="2"/>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7E312F"/>
    <w:pPr>
      <w:keepNext/>
      <w:keepLines/>
      <w:numPr>
        <w:ilvl w:val="1"/>
        <w:numId w:val="2"/>
      </w:numPr>
      <w:spacing w:before="120" w:after="120"/>
      <w:outlineLvl w:val="3"/>
    </w:pPr>
    <w:rPr>
      <w:rFonts w:asciiTheme="majorHAnsi" w:eastAsiaTheme="majorEastAsia" w:hAnsiTheme="majorHAnsi" w:cstheme="majorBidi"/>
      <w:b/>
      <w:bCs/>
      <w:color w:val="365F91" w:themeColor="accent1" w:themeShade="BF"/>
      <w:sz w:val="22"/>
      <w:szCs w:val="22"/>
    </w:rPr>
  </w:style>
  <w:style w:type="paragraph" w:styleId="Titre5">
    <w:name w:val="heading 5"/>
    <w:basedOn w:val="Normal"/>
    <w:next w:val="Normal"/>
    <w:link w:val="Titre5Car"/>
    <w:uiPriority w:val="9"/>
    <w:unhideWhenUsed/>
    <w:qFormat/>
    <w:rsid w:val="00082721"/>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2721"/>
    <w:rPr>
      <w:rFonts w:asciiTheme="majorHAnsi" w:eastAsia="Times New Roman" w:hAnsiTheme="majorHAnsi" w:cstheme="majorBidi"/>
      <w:b/>
      <w:color w:val="17365D" w:themeColor="text2" w:themeShade="BF"/>
      <w:spacing w:val="5"/>
      <w:kern w:val="28"/>
      <w:sz w:val="32"/>
      <w:szCs w:val="32"/>
      <w:lang w:eastAsia="fr-BE"/>
    </w:rPr>
  </w:style>
  <w:style w:type="character" w:customStyle="1" w:styleId="Titre1Car">
    <w:name w:val="Titre 1 Car"/>
    <w:basedOn w:val="Policepardfaut"/>
    <w:link w:val="Titre1"/>
    <w:uiPriority w:val="9"/>
    <w:rsid w:val="00082721"/>
    <w:rPr>
      <w:rFonts w:ascii="Calibri" w:eastAsia="Times New Roman" w:hAnsi="Calibri" w:cstheme="majorBidi"/>
      <w:b/>
      <w:bCs/>
      <w:color w:val="BFBFBF" w:themeColor="background1" w:themeShade="BF"/>
      <w:sz w:val="48"/>
      <w:szCs w:val="28"/>
      <w:lang w:eastAsia="fr-BE"/>
    </w:rPr>
  </w:style>
  <w:style w:type="paragraph" w:styleId="Titre">
    <w:name w:val="Title"/>
    <w:basedOn w:val="Normal"/>
    <w:next w:val="Normal"/>
    <w:link w:val="TitreCar"/>
    <w:uiPriority w:val="10"/>
    <w:qFormat/>
    <w:rsid w:val="0008272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2721"/>
    <w:rPr>
      <w:rFonts w:asciiTheme="majorHAnsi" w:eastAsiaTheme="majorEastAsia" w:hAnsiTheme="majorHAnsi" w:cstheme="majorBidi"/>
      <w:spacing w:val="-10"/>
      <w:kern w:val="28"/>
      <w:sz w:val="56"/>
      <w:szCs w:val="56"/>
      <w:lang w:eastAsia="fr-BE"/>
    </w:rPr>
  </w:style>
  <w:style w:type="character" w:customStyle="1" w:styleId="Titre3Car">
    <w:name w:val="Titre 3 Car"/>
    <w:basedOn w:val="Policepardfaut"/>
    <w:link w:val="Titre3"/>
    <w:uiPriority w:val="9"/>
    <w:rsid w:val="00082721"/>
    <w:rPr>
      <w:rFonts w:asciiTheme="majorHAnsi" w:eastAsiaTheme="majorEastAsia" w:hAnsiTheme="majorHAnsi" w:cstheme="majorBidi"/>
      <w:b/>
      <w:bCs/>
      <w:color w:val="243F60" w:themeColor="accent1" w:themeShade="7F"/>
      <w:sz w:val="24"/>
      <w:szCs w:val="24"/>
      <w:lang w:eastAsia="fr-BE"/>
    </w:rPr>
  </w:style>
  <w:style w:type="character" w:customStyle="1" w:styleId="Titre4Car">
    <w:name w:val="Titre 4 Car"/>
    <w:basedOn w:val="Policepardfaut"/>
    <w:link w:val="Titre4"/>
    <w:uiPriority w:val="9"/>
    <w:rsid w:val="007E312F"/>
    <w:rPr>
      <w:rFonts w:asciiTheme="majorHAnsi" w:eastAsiaTheme="majorEastAsia" w:hAnsiTheme="majorHAnsi" w:cstheme="majorBidi"/>
      <w:b/>
      <w:bCs/>
      <w:color w:val="365F91" w:themeColor="accent1" w:themeShade="BF"/>
      <w:lang w:val="fr-FR" w:eastAsia="fr-FR"/>
    </w:rPr>
  </w:style>
  <w:style w:type="character" w:customStyle="1" w:styleId="Titre5Car">
    <w:name w:val="Titre 5 Car"/>
    <w:basedOn w:val="Policepardfaut"/>
    <w:link w:val="Titre5"/>
    <w:uiPriority w:val="9"/>
    <w:rsid w:val="00082721"/>
    <w:rPr>
      <w:rFonts w:asciiTheme="majorHAnsi" w:eastAsiaTheme="majorEastAsia" w:hAnsiTheme="majorHAnsi" w:cstheme="majorBidi"/>
      <w:color w:val="365F91" w:themeColor="accent1" w:themeShade="BF"/>
      <w:lang w:eastAsia="fr-BE"/>
    </w:rPr>
  </w:style>
  <w:style w:type="paragraph" w:styleId="Notedebasdepage">
    <w:name w:val="footnote text"/>
    <w:basedOn w:val="Normal"/>
    <w:link w:val="NotedebasdepageCar"/>
    <w:uiPriority w:val="99"/>
    <w:semiHidden/>
    <w:unhideWhenUsed/>
    <w:rsid w:val="001A5A15"/>
    <w:rPr>
      <w:rFonts w:ascii="Calibri" w:eastAsia="Calibri" w:hAnsi="Calibri" w:cs="Times New Roman"/>
      <w:sz w:val="20"/>
      <w:szCs w:val="20"/>
      <w:lang w:val="fr-BE" w:eastAsia="fr-BE"/>
    </w:rPr>
  </w:style>
  <w:style w:type="character" w:customStyle="1" w:styleId="NotedebasdepageCar">
    <w:name w:val="Note de bas de page Car"/>
    <w:basedOn w:val="Policepardfaut"/>
    <w:link w:val="Notedebasdepage"/>
    <w:uiPriority w:val="99"/>
    <w:semiHidden/>
    <w:rsid w:val="001A5A15"/>
    <w:rPr>
      <w:rFonts w:ascii="Calibri" w:eastAsia="Calibri" w:hAnsi="Calibri" w:cs="Times New Roman"/>
      <w:sz w:val="20"/>
      <w:szCs w:val="20"/>
      <w:lang w:eastAsia="fr-BE"/>
    </w:rPr>
  </w:style>
  <w:style w:type="character" w:styleId="Appelnotedebasdep">
    <w:name w:val="footnote reference"/>
    <w:basedOn w:val="Policepardfaut"/>
    <w:uiPriority w:val="99"/>
    <w:unhideWhenUsed/>
    <w:rsid w:val="001A5A15"/>
    <w:rPr>
      <w:vertAlign w:val="superscript"/>
    </w:rPr>
  </w:style>
  <w:style w:type="paragraph" w:styleId="NormalWeb">
    <w:name w:val="Normal (Web)"/>
    <w:basedOn w:val="Normal"/>
    <w:uiPriority w:val="99"/>
    <w:unhideWhenUsed/>
    <w:rsid w:val="00C33EF5"/>
    <w:pPr>
      <w:spacing w:before="100" w:beforeAutospacing="1" w:after="100" w:afterAutospacing="1"/>
    </w:pPr>
    <w:rPr>
      <w:rFonts w:ascii="Times New Roman" w:eastAsia="Times New Roman" w:hAnsi="Times New Roman" w:cs="Times New Roman"/>
      <w:lang w:val="fr-BE" w:eastAsia="fr-BE"/>
    </w:rPr>
  </w:style>
  <w:style w:type="character" w:styleId="lev">
    <w:name w:val="Strong"/>
    <w:basedOn w:val="Policepardfaut"/>
    <w:uiPriority w:val="22"/>
    <w:qFormat/>
    <w:rsid w:val="00C33EF5"/>
    <w:rPr>
      <w:b/>
      <w:bCs/>
    </w:rPr>
  </w:style>
  <w:style w:type="paragraph" w:customStyle="1" w:styleId="centrer">
    <w:name w:val="centrer"/>
    <w:basedOn w:val="Normal"/>
    <w:rsid w:val="00C33EF5"/>
    <w:pPr>
      <w:spacing w:before="100" w:beforeAutospacing="1" w:after="100" w:afterAutospacing="1"/>
    </w:pPr>
    <w:rPr>
      <w:rFonts w:ascii="Times New Roman" w:eastAsia="Times New Roman" w:hAnsi="Times New Roman" w:cs="Times New Roman"/>
      <w:lang w:val="fr-BE" w:eastAsia="fr-BE"/>
    </w:rPr>
  </w:style>
  <w:style w:type="paragraph" w:styleId="Paragraphedeliste">
    <w:name w:val="List Paragraph"/>
    <w:aliases w:val="Lettre d'introduction,Paragraphe de liste3,Bulleted Lijst,Bullet List Paragraph,List Paragraph1,Numbered paragraph 1,Paragrafo elenco,1st level - Bullet List Paragraph,cS List Paragraph,Questions,Liste couleur - Accent 11,puce"/>
    <w:basedOn w:val="Normal"/>
    <w:link w:val="ParagraphedelisteCar"/>
    <w:uiPriority w:val="34"/>
    <w:qFormat/>
    <w:rsid w:val="007B3AB2"/>
    <w:pPr>
      <w:ind w:left="720"/>
      <w:contextualSpacing/>
    </w:pPr>
  </w:style>
  <w:style w:type="character" w:styleId="Lienhypertexte">
    <w:name w:val="Hyperlink"/>
    <w:basedOn w:val="Policepardfaut"/>
    <w:uiPriority w:val="99"/>
    <w:semiHidden/>
    <w:unhideWhenUsed/>
    <w:rsid w:val="005F34AE"/>
    <w:rPr>
      <w:color w:val="0000FF"/>
      <w:u w:val="single"/>
    </w:rPr>
  </w:style>
  <w:style w:type="paragraph" w:customStyle="1" w:styleId="Paragraphestandard">
    <w:name w:val="[Paragraphe standard]"/>
    <w:basedOn w:val="Normal"/>
    <w:uiPriority w:val="99"/>
    <w:rsid w:val="00DB63A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Grilledutableau">
    <w:name w:val="Table Grid"/>
    <w:basedOn w:val="TableauNormal"/>
    <w:uiPriority w:val="59"/>
    <w:rsid w:val="00DB63A8"/>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ettre d'introduction Car,Paragraphe de liste3 Car,Bulleted Lijst Car,Bullet List Paragraph Car,List Paragraph1 Car,Numbered paragraph 1 Car,Paragrafo elenco Car,1st level - Bullet List Paragraph Car,cS List Paragraph Car"/>
    <w:basedOn w:val="Policepardfaut"/>
    <w:link w:val="Paragraphedeliste"/>
    <w:uiPriority w:val="34"/>
    <w:locked/>
    <w:rsid w:val="00DB63A8"/>
    <w:rPr>
      <w:rFonts w:eastAsiaTheme="minorEastAsia"/>
      <w:sz w:val="24"/>
      <w:szCs w:val="24"/>
      <w:lang w:val="fr-FR" w:eastAsia="fr-FR"/>
    </w:rPr>
  </w:style>
  <w:style w:type="character" w:styleId="Marquedecommentaire">
    <w:name w:val="annotation reference"/>
    <w:basedOn w:val="Policepardfaut"/>
    <w:uiPriority w:val="99"/>
    <w:semiHidden/>
    <w:unhideWhenUsed/>
    <w:rsid w:val="00B374ED"/>
    <w:rPr>
      <w:sz w:val="16"/>
      <w:szCs w:val="16"/>
    </w:rPr>
  </w:style>
  <w:style w:type="paragraph" w:styleId="Commentaire">
    <w:name w:val="annotation text"/>
    <w:basedOn w:val="Normal"/>
    <w:link w:val="CommentaireCar"/>
    <w:unhideWhenUsed/>
    <w:rsid w:val="00B374ED"/>
    <w:rPr>
      <w:sz w:val="20"/>
      <w:szCs w:val="20"/>
    </w:rPr>
  </w:style>
  <w:style w:type="character" w:customStyle="1" w:styleId="CommentaireCar">
    <w:name w:val="Commentaire Car"/>
    <w:basedOn w:val="Policepardfaut"/>
    <w:link w:val="Commentaire"/>
    <w:uiPriority w:val="99"/>
    <w:rsid w:val="00B374E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B374ED"/>
    <w:rPr>
      <w:b/>
      <w:bCs/>
    </w:rPr>
  </w:style>
  <w:style w:type="character" w:customStyle="1" w:styleId="ObjetducommentaireCar">
    <w:name w:val="Objet du commentaire Car"/>
    <w:basedOn w:val="CommentaireCar"/>
    <w:link w:val="Objetducommentaire"/>
    <w:uiPriority w:val="99"/>
    <w:semiHidden/>
    <w:rsid w:val="00B374ED"/>
    <w:rPr>
      <w:rFonts w:eastAsiaTheme="minorEastAsia"/>
      <w:b/>
      <w:bCs/>
      <w:sz w:val="20"/>
      <w:szCs w:val="20"/>
      <w:lang w:val="fr-FR" w:eastAsia="fr-FR"/>
    </w:rPr>
  </w:style>
  <w:style w:type="paragraph" w:customStyle="1" w:styleId="xmsonormal">
    <w:name w:val="x_msonormal"/>
    <w:basedOn w:val="Normal"/>
    <w:uiPriority w:val="99"/>
    <w:rsid w:val="00426943"/>
    <w:rPr>
      <w:rFonts w:ascii="Times New Roman" w:eastAsiaTheme="minorHAnsi" w:hAnsi="Times New Roman" w:cs="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66584">
      <w:bodyDiv w:val="1"/>
      <w:marLeft w:val="0"/>
      <w:marRight w:val="0"/>
      <w:marTop w:val="0"/>
      <w:marBottom w:val="0"/>
      <w:divBdr>
        <w:top w:val="none" w:sz="0" w:space="0" w:color="auto"/>
        <w:left w:val="none" w:sz="0" w:space="0" w:color="auto"/>
        <w:bottom w:val="none" w:sz="0" w:space="0" w:color="auto"/>
        <w:right w:val="none" w:sz="0" w:space="0" w:color="auto"/>
      </w:divBdr>
    </w:div>
    <w:div w:id="819464101">
      <w:bodyDiv w:val="1"/>
      <w:marLeft w:val="0"/>
      <w:marRight w:val="0"/>
      <w:marTop w:val="0"/>
      <w:marBottom w:val="0"/>
      <w:divBdr>
        <w:top w:val="none" w:sz="0" w:space="0" w:color="auto"/>
        <w:left w:val="none" w:sz="0" w:space="0" w:color="auto"/>
        <w:bottom w:val="none" w:sz="0" w:space="0" w:color="auto"/>
        <w:right w:val="none" w:sz="0" w:space="0" w:color="auto"/>
      </w:divBdr>
    </w:div>
    <w:div w:id="904991701">
      <w:bodyDiv w:val="1"/>
      <w:marLeft w:val="0"/>
      <w:marRight w:val="0"/>
      <w:marTop w:val="0"/>
      <w:marBottom w:val="0"/>
      <w:divBdr>
        <w:top w:val="none" w:sz="0" w:space="0" w:color="auto"/>
        <w:left w:val="none" w:sz="0" w:space="0" w:color="auto"/>
        <w:bottom w:val="none" w:sz="0" w:space="0" w:color="auto"/>
        <w:right w:val="none" w:sz="0" w:space="0" w:color="auto"/>
      </w:divBdr>
    </w:div>
    <w:div w:id="1803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9061-EDC9-4F73-9F1D-CB856EC6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1094</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TILLESSE Manuel</dc:creator>
  <cp:keywords/>
  <dc:description/>
  <cp:lastModifiedBy>de TILLESSE Manuel</cp:lastModifiedBy>
  <cp:revision>5</cp:revision>
  <cp:lastPrinted>2022-01-20T14:49:00Z</cp:lastPrinted>
  <dcterms:created xsi:type="dcterms:W3CDTF">2022-03-02T09:50:00Z</dcterms:created>
  <dcterms:modified xsi:type="dcterms:W3CDTF">2022-03-14T13:14:00Z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2022-01-19T13:42:20Z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ad5a695d-248c-45ab-821b-4b24a5452f2b</vt:lpwstr>
  </property>
  <property fmtid="{D5CDD505-2E9C-101B-9397-08002B2CF9AE}" pid="8" name="MSIP_Label_97a477d1-147d-4e34-b5e3-7b26d2f44870_ContentBits">
    <vt:lpwstr>0</vt:lpwstr>
  </property>
</Properties>
</file>